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F90" w:rsidRDefault="00E92F90" w:rsidP="00E92F90">
      <w:pPr>
        <w:rPr>
          <w:rFonts w:ascii="Times New Roman" w:eastAsia="Calibri" w:hAnsi="Times New Roman" w:cs="Times New Roman"/>
          <w:noProof/>
          <w:color w:val="0000FF"/>
          <w:sz w:val="24"/>
          <w:szCs w:val="24"/>
        </w:rPr>
      </w:pPr>
      <w:bookmarkStart w:id="0" w:name="_MailAutoSig"/>
      <w:r>
        <w:rPr>
          <w:rFonts w:ascii="Arial" w:eastAsia="Calibri" w:hAnsi="Arial" w:cs="Arial"/>
          <w:b/>
          <w:noProof/>
          <w:color w:val="993300"/>
        </w:rPr>
        <w:t>Steven M. Burke</w:t>
      </w:r>
      <w:r>
        <w:rPr>
          <w:rFonts w:ascii="Times New Roman" w:eastAsia="Calibri" w:hAnsi="Times New Roman" w:cs="Times New Roman"/>
          <w:noProof/>
          <w:sz w:val="24"/>
          <w:szCs w:val="24"/>
        </w:rPr>
        <w:br/>
      </w:r>
      <w:r>
        <w:rPr>
          <w:rFonts w:ascii="Times New Roman" w:eastAsia="Calibri" w:hAnsi="Times New Roman" w:cs="Times New Roman"/>
          <w:noProof/>
          <w:color w:val="0000FF"/>
          <w:sz w:val="24"/>
          <w:szCs w:val="24"/>
        </w:rPr>
        <w:br/>
      </w:r>
      <w:r>
        <w:rPr>
          <w:rFonts w:ascii="Times New Roman" w:eastAsia="Calibri" w:hAnsi="Times New Roman" w:cs="Times New Roman"/>
          <w:noProof/>
          <w:color w:val="0000FF"/>
          <w:sz w:val="24"/>
          <w:szCs w:val="24"/>
        </w:rPr>
        <w:drawing>
          <wp:inline distT="0" distB="0" distL="0" distR="0">
            <wp:extent cx="895350" cy="371475"/>
            <wp:effectExtent l="0" t="0" r="0" b="9525"/>
            <wp:docPr id="1" name="Picture 1" descr="Description: cid:841111121@12042012-01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841111121@12042012-01C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371475"/>
                    </a:xfrm>
                    <a:prstGeom prst="rect">
                      <a:avLst/>
                    </a:prstGeom>
                    <a:noFill/>
                    <a:ln>
                      <a:noFill/>
                    </a:ln>
                  </pic:spPr>
                </pic:pic>
              </a:graphicData>
            </a:graphic>
          </wp:inline>
        </w:drawing>
      </w:r>
    </w:p>
    <w:p w:rsidR="00E92F90" w:rsidRDefault="00E92F90" w:rsidP="00E92F90">
      <w:pPr>
        <w:rPr>
          <w:rFonts w:eastAsia="Times New Roman"/>
          <w:noProof/>
          <w:color w:val="0000FF"/>
          <w:sz w:val="20"/>
          <w:szCs w:val="20"/>
        </w:rPr>
      </w:pPr>
    </w:p>
    <w:tbl>
      <w:tblPr>
        <w:tblW w:w="0" w:type="auto"/>
        <w:tblLook w:val="01E0" w:firstRow="1" w:lastRow="1" w:firstColumn="1" w:lastColumn="1" w:noHBand="0" w:noVBand="0"/>
      </w:tblPr>
      <w:tblGrid>
        <w:gridCol w:w="3060"/>
        <w:gridCol w:w="2526"/>
      </w:tblGrid>
      <w:tr w:rsidR="00E92F90" w:rsidTr="00E92F90">
        <w:tc>
          <w:tcPr>
            <w:tcW w:w="3060" w:type="dxa"/>
            <w:tcBorders>
              <w:top w:val="nil"/>
              <w:left w:val="nil"/>
              <w:bottom w:val="nil"/>
              <w:right w:val="single" w:sz="4" w:space="0" w:color="auto"/>
            </w:tcBorders>
            <w:hideMark/>
          </w:tcPr>
          <w:p w:rsidR="00E92F90" w:rsidRDefault="00E92F90">
            <w:pPr>
              <w:spacing w:before="100" w:beforeAutospacing="1" w:after="100" w:afterAutospacing="1"/>
              <w:rPr>
                <w:rFonts w:ascii="Arial" w:eastAsia="Calibri" w:hAnsi="Arial" w:cs="Arial"/>
                <w:noProof/>
                <w:color w:val="999999"/>
                <w:sz w:val="20"/>
                <w:szCs w:val="20"/>
              </w:rPr>
            </w:pPr>
            <w:r>
              <w:rPr>
                <w:rFonts w:ascii="Arial" w:eastAsia="Calibri" w:hAnsi="Arial" w:cs="Arial"/>
                <w:noProof/>
                <w:color w:val="999999"/>
                <w:sz w:val="20"/>
                <w:szCs w:val="20"/>
              </w:rPr>
              <w:t>900 Elm Street</w:t>
            </w:r>
            <w:r>
              <w:rPr>
                <w:rFonts w:ascii="Arial" w:eastAsia="Calibri" w:hAnsi="Arial" w:cs="Arial"/>
                <w:noProof/>
                <w:color w:val="999999"/>
                <w:sz w:val="20"/>
                <w:szCs w:val="20"/>
              </w:rPr>
              <w:br/>
              <w:t>P.O. Box 326</w:t>
            </w:r>
            <w:r>
              <w:rPr>
                <w:rFonts w:ascii="Arial" w:eastAsia="Calibri" w:hAnsi="Arial" w:cs="Arial"/>
                <w:noProof/>
                <w:color w:val="999999"/>
                <w:sz w:val="20"/>
                <w:szCs w:val="20"/>
              </w:rPr>
              <w:br/>
              <w:t>Manchester, NH 03105-0326</w:t>
            </w:r>
          </w:p>
        </w:tc>
        <w:tc>
          <w:tcPr>
            <w:tcW w:w="2526" w:type="dxa"/>
            <w:tcBorders>
              <w:top w:val="nil"/>
              <w:left w:val="single" w:sz="4" w:space="0" w:color="auto"/>
              <w:bottom w:val="nil"/>
              <w:right w:val="nil"/>
            </w:tcBorders>
            <w:hideMark/>
          </w:tcPr>
          <w:p w:rsidR="00E92F90" w:rsidRDefault="00E92F90">
            <w:pPr>
              <w:spacing w:before="100" w:beforeAutospacing="1" w:after="100" w:afterAutospacing="1"/>
              <w:rPr>
                <w:rFonts w:ascii="Arial" w:eastAsia="Calibri" w:hAnsi="Arial" w:cs="Arial"/>
                <w:noProof/>
                <w:color w:val="999999"/>
                <w:sz w:val="20"/>
                <w:szCs w:val="20"/>
              </w:rPr>
            </w:pPr>
            <w:r>
              <w:rPr>
                <w:rFonts w:ascii="Arial" w:eastAsia="Calibri" w:hAnsi="Arial" w:cs="Arial"/>
                <w:noProof/>
                <w:color w:val="999999"/>
                <w:sz w:val="20"/>
                <w:szCs w:val="20"/>
              </w:rPr>
              <w:t>300 TradeCenter</w:t>
            </w:r>
            <w:r>
              <w:rPr>
                <w:rFonts w:ascii="Arial" w:eastAsia="Calibri" w:hAnsi="Arial" w:cs="Arial"/>
                <w:noProof/>
                <w:color w:val="999999"/>
                <w:sz w:val="20"/>
                <w:szCs w:val="20"/>
              </w:rPr>
              <w:br/>
              <w:t>Suite 6400</w:t>
            </w:r>
            <w:r>
              <w:rPr>
                <w:rFonts w:ascii="Arial" w:eastAsia="Calibri" w:hAnsi="Arial" w:cs="Arial"/>
                <w:noProof/>
                <w:color w:val="999999"/>
                <w:sz w:val="20"/>
                <w:szCs w:val="20"/>
              </w:rPr>
              <w:br/>
              <w:t>Woburn, MA 01801</w:t>
            </w:r>
          </w:p>
        </w:tc>
      </w:tr>
      <w:tr w:rsidR="00E92F90" w:rsidTr="00E92F90">
        <w:tc>
          <w:tcPr>
            <w:tcW w:w="5586" w:type="dxa"/>
            <w:gridSpan w:val="2"/>
            <w:hideMark/>
          </w:tcPr>
          <w:p w:rsidR="00E92F90" w:rsidRDefault="00E92F90">
            <w:pPr>
              <w:spacing w:before="100" w:beforeAutospacing="1" w:after="100" w:afterAutospacing="1"/>
              <w:rPr>
                <w:rFonts w:ascii="Arial" w:eastAsia="Calibri" w:hAnsi="Arial" w:cs="Arial"/>
                <w:noProof/>
                <w:color w:val="999999"/>
                <w:sz w:val="20"/>
                <w:szCs w:val="20"/>
              </w:rPr>
            </w:pPr>
            <w:r>
              <w:rPr>
                <w:rFonts w:ascii="Arial" w:eastAsia="Calibri" w:hAnsi="Arial" w:cs="Arial"/>
                <w:noProof/>
                <w:color w:val="999999"/>
                <w:sz w:val="20"/>
                <w:szCs w:val="20"/>
              </w:rPr>
              <w:t>Direct Telephone-NH: (603) 628-1454</w:t>
            </w:r>
            <w:r>
              <w:rPr>
                <w:rFonts w:ascii="Arial" w:eastAsia="Calibri" w:hAnsi="Arial" w:cs="Arial"/>
                <w:noProof/>
                <w:color w:val="999999"/>
                <w:sz w:val="20"/>
                <w:szCs w:val="20"/>
              </w:rPr>
              <w:br/>
              <w:t>Direct Telephone-MA: (781) 904-2711</w:t>
            </w:r>
            <w:r>
              <w:rPr>
                <w:rFonts w:ascii="Arial" w:eastAsia="Calibri" w:hAnsi="Arial" w:cs="Arial"/>
                <w:noProof/>
                <w:color w:val="999999"/>
                <w:sz w:val="20"/>
                <w:szCs w:val="20"/>
              </w:rPr>
              <w:br/>
              <w:t>Main Telephone: (603) 625-6464</w:t>
            </w:r>
            <w:r>
              <w:rPr>
                <w:rFonts w:ascii="Arial" w:eastAsia="Calibri" w:hAnsi="Arial" w:cs="Arial"/>
                <w:noProof/>
                <w:color w:val="999999"/>
                <w:sz w:val="20"/>
                <w:szCs w:val="20"/>
              </w:rPr>
              <w:br/>
              <w:t>Facsimile: (603) 625-5650</w:t>
            </w:r>
            <w:r>
              <w:rPr>
                <w:rFonts w:ascii="Arial" w:eastAsia="Calibri" w:hAnsi="Arial" w:cs="Arial"/>
                <w:noProof/>
                <w:color w:val="999999"/>
                <w:sz w:val="20"/>
                <w:szCs w:val="20"/>
              </w:rPr>
              <w:br/>
              <w:t xml:space="preserve">email: </w:t>
            </w:r>
            <w:hyperlink r:id="rId10" w:history="1">
              <w:r>
                <w:rPr>
                  <w:rStyle w:val="Hyperlink"/>
                  <w:rFonts w:ascii="Arial" w:eastAsia="Calibri" w:hAnsi="Arial" w:cs="Arial"/>
                  <w:noProof/>
                  <w:sz w:val="20"/>
                  <w:szCs w:val="20"/>
                </w:rPr>
                <w:t>steve.burke@mclane.com</w:t>
              </w:r>
            </w:hyperlink>
            <w:r>
              <w:rPr>
                <w:rFonts w:ascii="Arial" w:eastAsia="Calibri" w:hAnsi="Arial" w:cs="Arial"/>
                <w:noProof/>
                <w:color w:val="999999"/>
                <w:sz w:val="20"/>
                <w:szCs w:val="20"/>
              </w:rPr>
              <w:br/>
            </w:r>
            <w:hyperlink r:id="rId11" w:history="1">
              <w:r>
                <w:rPr>
                  <w:rStyle w:val="Hyperlink"/>
                  <w:rFonts w:ascii="Arial" w:eastAsia="Calibri" w:hAnsi="Arial" w:cs="Arial"/>
                  <w:noProof/>
                  <w:sz w:val="20"/>
                  <w:szCs w:val="20"/>
                </w:rPr>
                <w:t>www.mclane.com</w:t>
              </w:r>
            </w:hyperlink>
            <w:r>
              <w:rPr>
                <w:rFonts w:ascii="Arial" w:eastAsia="Calibri" w:hAnsi="Arial" w:cs="Arial"/>
                <w:noProof/>
                <w:color w:val="999999"/>
                <w:sz w:val="24"/>
                <w:szCs w:val="24"/>
              </w:rPr>
              <w:t xml:space="preserve"> </w:t>
            </w:r>
          </w:p>
        </w:tc>
      </w:tr>
    </w:tbl>
    <w:p w:rsidR="00E92F90" w:rsidRDefault="00E92F90" w:rsidP="00E92F90">
      <w:pPr>
        <w:spacing w:before="100" w:beforeAutospacing="1" w:after="100" w:afterAutospacing="1"/>
        <w:rPr>
          <w:rFonts w:ascii="Arial" w:eastAsia="Calibri" w:hAnsi="Arial" w:cs="Arial"/>
          <w:noProof/>
          <w:color w:val="999999"/>
          <w:sz w:val="20"/>
          <w:szCs w:val="20"/>
        </w:rPr>
      </w:pPr>
      <w:r>
        <w:rPr>
          <w:rFonts w:ascii="Arial" w:eastAsia="Calibri" w:hAnsi="Arial" w:cs="Arial"/>
          <w:noProof/>
          <w:color w:val="999999"/>
          <w:sz w:val="20"/>
          <w:szCs w:val="20"/>
        </w:rPr>
        <w:t>With offices in Manchester, Portsmouth and Concord, New Hampshire and Woburn, Massachusett</w:t>
      </w:r>
      <w:bookmarkEnd w:id="0"/>
    </w:p>
    <w:p w:rsidR="004E31B2" w:rsidRDefault="004E31B2" w:rsidP="00C86949">
      <w:pPr>
        <w:spacing w:line="240" w:lineRule="auto"/>
        <w:rPr>
          <w:rFonts w:ascii="Times New Roman" w:hAnsi="Times New Roman" w:cs="Times New Roman"/>
          <w:b/>
          <w:i/>
          <w:sz w:val="24"/>
          <w:szCs w:val="24"/>
        </w:rPr>
      </w:pPr>
      <w:bookmarkStart w:id="1" w:name="_GoBack"/>
      <w:bookmarkEnd w:id="1"/>
    </w:p>
    <w:p w:rsidR="00141811" w:rsidRDefault="00141811" w:rsidP="00C86949">
      <w:pPr>
        <w:spacing w:line="240" w:lineRule="auto"/>
        <w:rPr>
          <w:rFonts w:ascii="Times New Roman" w:hAnsi="Times New Roman" w:cs="Times New Roman"/>
          <w:b/>
          <w:i/>
          <w:sz w:val="24"/>
          <w:szCs w:val="24"/>
        </w:rPr>
      </w:pPr>
    </w:p>
    <w:p w:rsidR="00141811" w:rsidRDefault="00141811" w:rsidP="00C86949">
      <w:pPr>
        <w:spacing w:line="240" w:lineRule="auto"/>
        <w:rPr>
          <w:rFonts w:ascii="Times New Roman" w:hAnsi="Times New Roman" w:cs="Times New Roman"/>
          <w:b/>
          <w:i/>
          <w:sz w:val="24"/>
          <w:szCs w:val="24"/>
        </w:rPr>
      </w:pPr>
    </w:p>
    <w:p w:rsidR="00141811" w:rsidRDefault="00141811" w:rsidP="00C86949">
      <w:pPr>
        <w:spacing w:line="240" w:lineRule="auto"/>
        <w:rPr>
          <w:rFonts w:ascii="Times New Roman" w:hAnsi="Times New Roman" w:cs="Times New Roman"/>
          <w:b/>
          <w:i/>
          <w:sz w:val="24"/>
          <w:szCs w:val="24"/>
        </w:rPr>
      </w:pPr>
    </w:p>
    <w:p w:rsidR="004E31B2" w:rsidRDefault="004E31B2" w:rsidP="004E31B2">
      <w:pPr>
        <w:pStyle w:val="Heading1"/>
        <w:numPr>
          <w:ilvl w:val="0"/>
          <w:numId w:val="0"/>
        </w:numPr>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REAL LIFE FIDUCIARY DUTIES, ISSUES </w:t>
      </w:r>
    </w:p>
    <w:p w:rsidR="004E31B2" w:rsidRDefault="004E31B2" w:rsidP="004E31B2">
      <w:pPr>
        <w:pStyle w:val="Heading1"/>
        <w:numPr>
          <w:ilvl w:val="0"/>
          <w:numId w:val="0"/>
        </w:numPr>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AND EXAMPLES </w:t>
      </w:r>
    </w:p>
    <w:p w:rsidR="004E31B2" w:rsidRPr="004E31B2" w:rsidRDefault="004E31B2" w:rsidP="004E31B2"/>
    <w:p w:rsidR="000377EA" w:rsidRDefault="000377EA" w:rsidP="00C86949">
      <w:pPr>
        <w:pStyle w:val="Heading1"/>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Introduction.</w:t>
      </w:r>
    </w:p>
    <w:p w:rsidR="000A1752" w:rsidRPr="000A1752" w:rsidRDefault="000A1752" w:rsidP="000A1752">
      <w:pPr>
        <w:spacing w:after="0" w:line="240" w:lineRule="auto"/>
      </w:pPr>
    </w:p>
    <w:p w:rsidR="000377EA" w:rsidRDefault="000377EA" w:rsidP="000377EA">
      <w:pPr>
        <w:pStyle w:val="Heading1"/>
        <w:numPr>
          <w:ilvl w:val="0"/>
          <w:numId w:val="0"/>
        </w:numPr>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ab/>
        <w:t>A.</w:t>
      </w:r>
      <w:r>
        <w:rPr>
          <w:rFonts w:ascii="Times New Roman" w:hAnsi="Times New Roman" w:cs="Times New Roman"/>
          <w:b w:val="0"/>
          <w:color w:val="auto"/>
          <w:sz w:val="24"/>
          <w:szCs w:val="24"/>
        </w:rPr>
        <w:tab/>
        <w:t>Fiduciaries have certain responsibilities, including</w:t>
      </w:r>
    </w:p>
    <w:p w:rsidR="000377EA" w:rsidRDefault="000377EA" w:rsidP="000377EA">
      <w:pPr>
        <w:tabs>
          <w:tab w:val="left" w:pos="1440"/>
          <w:tab w:val="left" w:pos="1800"/>
        </w:tabs>
        <w:spacing w:after="0" w:line="240" w:lineRule="auto"/>
        <w:rPr>
          <w:rFonts w:ascii="Times New Roman" w:hAnsi="Times New Roman" w:cs="Times New Roman"/>
          <w:sz w:val="24"/>
          <w:szCs w:val="24"/>
        </w:rPr>
      </w:pPr>
      <w:r>
        <w:tab/>
      </w:r>
      <w:r w:rsidRPr="000377EA">
        <w:rPr>
          <w:rFonts w:ascii="Times New Roman" w:hAnsi="Times New Roman" w:cs="Times New Roman"/>
          <w:sz w:val="24"/>
          <w:szCs w:val="24"/>
        </w:rPr>
        <w:t>1.</w:t>
      </w:r>
      <w:r>
        <w:rPr>
          <w:rFonts w:ascii="Times New Roman" w:hAnsi="Times New Roman" w:cs="Times New Roman"/>
          <w:sz w:val="24"/>
          <w:szCs w:val="24"/>
        </w:rPr>
        <w:tab/>
        <w:t>Acting solely in the interest of plan participants and their beneficiaries</w:t>
      </w:r>
    </w:p>
    <w:p w:rsidR="000377EA" w:rsidRDefault="000377EA" w:rsidP="000377EA">
      <w:pPr>
        <w:tabs>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Carrying out their duties prudently</w:t>
      </w:r>
    </w:p>
    <w:p w:rsidR="000377EA" w:rsidRDefault="000377EA" w:rsidP="000377EA">
      <w:pPr>
        <w:tabs>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Following the plan documents, unless they are inconsistent with ERISA</w:t>
      </w:r>
    </w:p>
    <w:p w:rsidR="000377EA" w:rsidRDefault="000377EA" w:rsidP="000377EA">
      <w:pPr>
        <w:tabs>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Diversifying plan investments</w:t>
      </w:r>
    </w:p>
    <w:p w:rsidR="000377EA" w:rsidRPr="000377EA" w:rsidRDefault="000377EA" w:rsidP="000377EA">
      <w:pPr>
        <w:tabs>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Paying only reasonable plan expenses</w:t>
      </w:r>
    </w:p>
    <w:p w:rsidR="004E31B2" w:rsidRDefault="000377EA" w:rsidP="000377EA">
      <w:pPr>
        <w:pStyle w:val="Heading1"/>
        <w:numPr>
          <w:ilvl w:val="0"/>
          <w:numId w:val="0"/>
        </w:numPr>
        <w:tabs>
          <w:tab w:val="left" w:pos="720"/>
        </w:tabs>
        <w:spacing w:before="0" w:line="240" w:lineRule="auto"/>
        <w:ind w:left="1440" w:hanging="1440"/>
        <w:rPr>
          <w:rFonts w:ascii="Times New Roman" w:hAnsi="Times New Roman" w:cs="Times New Roman"/>
          <w:b w:val="0"/>
          <w:color w:val="auto"/>
          <w:sz w:val="24"/>
          <w:szCs w:val="24"/>
        </w:rPr>
      </w:pPr>
      <w:r>
        <w:rPr>
          <w:rFonts w:ascii="Times New Roman" w:hAnsi="Times New Roman" w:cs="Times New Roman"/>
          <w:b w:val="0"/>
          <w:color w:val="auto"/>
          <w:sz w:val="24"/>
          <w:szCs w:val="24"/>
        </w:rPr>
        <w:tab/>
        <w:t>B.</w:t>
      </w:r>
      <w:r>
        <w:rPr>
          <w:rFonts w:ascii="Times New Roman" w:hAnsi="Times New Roman" w:cs="Times New Roman"/>
          <w:b w:val="0"/>
          <w:color w:val="auto"/>
          <w:sz w:val="24"/>
          <w:szCs w:val="24"/>
        </w:rPr>
        <w:tab/>
      </w:r>
      <w:r w:rsidR="004E31B2">
        <w:rPr>
          <w:rFonts w:ascii="Times New Roman" w:hAnsi="Times New Roman" w:cs="Times New Roman"/>
          <w:b w:val="0"/>
          <w:color w:val="auto"/>
          <w:sz w:val="24"/>
          <w:szCs w:val="24"/>
        </w:rPr>
        <w:t>Fiduciary status is based on the functions performed for a plan, not just a person’s title.  A plan must name at least one fiduciary.  The fiduciaries will frequently include the trustee, investment advisers, all those who exercise discretion in administration of the plan.  The key is whether an individual or entity is exercising discretion or control over the p</w:t>
      </w:r>
      <w:r>
        <w:rPr>
          <w:rFonts w:ascii="Times New Roman" w:hAnsi="Times New Roman" w:cs="Times New Roman"/>
          <w:b w:val="0"/>
          <w:color w:val="auto"/>
          <w:sz w:val="24"/>
          <w:szCs w:val="24"/>
        </w:rPr>
        <w:t>l</w:t>
      </w:r>
      <w:r w:rsidR="004E31B2">
        <w:rPr>
          <w:rFonts w:ascii="Times New Roman" w:hAnsi="Times New Roman" w:cs="Times New Roman"/>
          <w:b w:val="0"/>
          <w:color w:val="auto"/>
          <w:sz w:val="24"/>
          <w:szCs w:val="24"/>
        </w:rPr>
        <w:t>an</w:t>
      </w:r>
      <w:r>
        <w:rPr>
          <w:rFonts w:ascii="Times New Roman" w:hAnsi="Times New Roman" w:cs="Times New Roman"/>
          <w:b w:val="0"/>
          <w:color w:val="auto"/>
          <w:sz w:val="24"/>
          <w:szCs w:val="24"/>
        </w:rPr>
        <w:t>.</w:t>
      </w:r>
    </w:p>
    <w:p w:rsidR="000377EA" w:rsidRPr="000377EA" w:rsidRDefault="000377EA" w:rsidP="000A1752">
      <w:pPr>
        <w:tabs>
          <w:tab w:val="left" w:pos="720"/>
        </w:tabs>
        <w:ind w:left="1440" w:hanging="1440"/>
        <w:rPr>
          <w:rFonts w:ascii="Times New Roman" w:hAnsi="Times New Roman" w:cs="Times New Roman"/>
          <w:sz w:val="24"/>
          <w:szCs w:val="24"/>
        </w:rPr>
      </w:pPr>
      <w:r>
        <w:tab/>
      </w:r>
      <w:r w:rsidRPr="000377EA">
        <w:rPr>
          <w:rFonts w:ascii="Times New Roman" w:hAnsi="Times New Roman" w:cs="Times New Roman"/>
          <w:sz w:val="24"/>
          <w:szCs w:val="24"/>
        </w:rPr>
        <w:t>C.</w:t>
      </w:r>
      <w:r>
        <w:rPr>
          <w:rFonts w:ascii="Times New Roman" w:hAnsi="Times New Roman" w:cs="Times New Roman"/>
          <w:sz w:val="24"/>
          <w:szCs w:val="24"/>
        </w:rPr>
        <w:tab/>
      </w:r>
      <w:r w:rsidR="000A1752">
        <w:rPr>
          <w:rFonts w:ascii="Times New Roman" w:hAnsi="Times New Roman" w:cs="Times New Roman"/>
          <w:sz w:val="24"/>
          <w:szCs w:val="24"/>
        </w:rPr>
        <w:t xml:space="preserve">The key to complying with fiduciary requirements is to act prudently.  This means that if the fiduciary is required to make a decision in an area in which the fiduciary does not have expertise, the fiduciary hires someone with professional knowledge in that area.  Prudence focuses on the process for making fiduciary </w:t>
      </w:r>
      <w:r w:rsidR="000A1752">
        <w:rPr>
          <w:rFonts w:ascii="Times New Roman" w:hAnsi="Times New Roman" w:cs="Times New Roman"/>
          <w:sz w:val="24"/>
          <w:szCs w:val="24"/>
        </w:rPr>
        <w:lastRenderedPageBreak/>
        <w:t>decisions.  Therefore, it is advisable to document decisions and the basis for decisions.</w:t>
      </w:r>
    </w:p>
    <w:p w:rsidR="0011093A" w:rsidRDefault="00715774" w:rsidP="00C86949">
      <w:pPr>
        <w:pStyle w:val="Heading1"/>
        <w:spacing w:before="0" w:line="240" w:lineRule="auto"/>
        <w:rPr>
          <w:rFonts w:ascii="Times New Roman" w:hAnsi="Times New Roman" w:cs="Times New Roman"/>
          <w:b w:val="0"/>
          <w:color w:val="auto"/>
          <w:sz w:val="24"/>
          <w:szCs w:val="24"/>
        </w:rPr>
      </w:pPr>
      <w:r w:rsidRPr="00715774">
        <w:rPr>
          <w:rFonts w:ascii="Times New Roman" w:hAnsi="Times New Roman" w:cs="Times New Roman"/>
          <w:b w:val="0"/>
          <w:color w:val="auto"/>
          <w:sz w:val="24"/>
          <w:szCs w:val="24"/>
          <w:u w:val="single"/>
        </w:rPr>
        <w:t>Duty to act in the best interests of all participants</w:t>
      </w:r>
      <w:r>
        <w:rPr>
          <w:rFonts w:ascii="Times New Roman" w:hAnsi="Times New Roman" w:cs="Times New Roman"/>
          <w:b w:val="0"/>
          <w:color w:val="auto"/>
          <w:sz w:val="24"/>
          <w:szCs w:val="24"/>
        </w:rPr>
        <w:t xml:space="preserve">.  </w:t>
      </w:r>
      <w:proofErr w:type="spellStart"/>
      <w:r w:rsidR="0011093A" w:rsidRPr="00C86949">
        <w:rPr>
          <w:rFonts w:ascii="Times New Roman" w:hAnsi="Times New Roman" w:cs="Times New Roman"/>
          <w:b w:val="0"/>
          <w:i/>
          <w:color w:val="auto"/>
          <w:sz w:val="24"/>
          <w:szCs w:val="24"/>
        </w:rPr>
        <w:t>Moench</w:t>
      </w:r>
      <w:proofErr w:type="spellEnd"/>
      <w:r w:rsidR="00602D45">
        <w:rPr>
          <w:rFonts w:ascii="Times New Roman" w:hAnsi="Times New Roman" w:cs="Times New Roman"/>
          <w:b w:val="0"/>
          <w:color w:val="auto"/>
          <w:sz w:val="24"/>
          <w:szCs w:val="24"/>
        </w:rPr>
        <w:t xml:space="preserve"> revisited.  A pension plan fiduciary has a duty to act in the best interests of all plan participants.  This duty applies to the manner in which the fiduciary invests plan assets.  A fiduciary can be responsible for choosing inappropriate investments.  Generally, it is considered a violation of fiduciary duties to concentrate plan investments in company stock in favor of a more diversified portfolio.</w:t>
      </w:r>
    </w:p>
    <w:p w:rsidR="000A1752" w:rsidRPr="000A1752" w:rsidRDefault="000A1752" w:rsidP="000A1752">
      <w:pPr>
        <w:spacing w:after="0" w:line="240" w:lineRule="auto"/>
      </w:pPr>
    </w:p>
    <w:p w:rsidR="0011093A" w:rsidRPr="00C86949" w:rsidRDefault="0011093A" w:rsidP="00C86949">
      <w:pPr>
        <w:pStyle w:val="Heading2"/>
        <w:spacing w:before="0" w:line="240" w:lineRule="auto"/>
        <w:rPr>
          <w:rFonts w:ascii="Times New Roman" w:hAnsi="Times New Roman" w:cs="Times New Roman"/>
          <w:b w:val="0"/>
          <w:caps/>
          <w:color w:val="auto"/>
          <w:sz w:val="24"/>
          <w:szCs w:val="24"/>
        </w:rPr>
      </w:pPr>
      <w:proofErr w:type="spellStart"/>
      <w:r w:rsidRPr="00C86949">
        <w:rPr>
          <w:rFonts w:ascii="Times New Roman" w:hAnsi="Times New Roman" w:cs="Times New Roman"/>
          <w:b w:val="0"/>
          <w:i/>
          <w:caps/>
          <w:color w:val="auto"/>
          <w:sz w:val="24"/>
          <w:szCs w:val="24"/>
        </w:rPr>
        <w:t>M</w:t>
      </w:r>
      <w:r w:rsidRPr="00C86949">
        <w:rPr>
          <w:rFonts w:ascii="Times New Roman" w:hAnsi="Times New Roman" w:cs="Times New Roman"/>
          <w:b w:val="0"/>
          <w:i/>
          <w:color w:val="auto"/>
          <w:sz w:val="24"/>
          <w:szCs w:val="24"/>
        </w:rPr>
        <w:t>oench</w:t>
      </w:r>
      <w:proofErr w:type="spellEnd"/>
      <w:r w:rsidRPr="00C86949">
        <w:rPr>
          <w:rFonts w:ascii="Times New Roman" w:hAnsi="Times New Roman" w:cs="Times New Roman"/>
          <w:b w:val="0"/>
          <w:i/>
          <w:color w:val="auto"/>
          <w:sz w:val="24"/>
          <w:szCs w:val="24"/>
        </w:rPr>
        <w:t xml:space="preserve"> v. Robertson</w:t>
      </w:r>
      <w:r w:rsidRPr="00C86949">
        <w:rPr>
          <w:rFonts w:ascii="Times New Roman" w:hAnsi="Times New Roman" w:cs="Times New Roman"/>
          <w:b w:val="0"/>
          <w:color w:val="auto"/>
          <w:sz w:val="24"/>
          <w:szCs w:val="24"/>
        </w:rPr>
        <w:t>, 62 F.3d 553 (3rd Cir. 1995)</w:t>
      </w:r>
    </w:p>
    <w:p w:rsidR="0011093A" w:rsidRPr="00C86949" w:rsidRDefault="0011093A" w:rsidP="00E10D85">
      <w:pPr>
        <w:pStyle w:val="Heading3"/>
        <w:spacing w:before="0" w:line="240" w:lineRule="auto"/>
        <w:ind w:left="1800" w:hanging="360"/>
        <w:rPr>
          <w:rFonts w:ascii="Times New Roman" w:hAnsi="Times New Roman" w:cs="Times New Roman"/>
          <w:b w:val="0"/>
          <w:caps/>
          <w:color w:val="auto"/>
          <w:sz w:val="24"/>
          <w:szCs w:val="24"/>
        </w:rPr>
      </w:pPr>
      <w:r w:rsidRPr="00C86949">
        <w:rPr>
          <w:rFonts w:ascii="Times New Roman" w:hAnsi="Times New Roman" w:cs="Times New Roman"/>
          <w:b w:val="0"/>
          <w:caps/>
          <w:color w:val="auto"/>
          <w:sz w:val="24"/>
          <w:szCs w:val="24"/>
        </w:rPr>
        <w:t>E</w:t>
      </w:r>
      <w:r w:rsidRPr="00C86949">
        <w:rPr>
          <w:rFonts w:ascii="Times New Roman" w:hAnsi="Times New Roman" w:cs="Times New Roman"/>
          <w:b w:val="0"/>
          <w:color w:val="auto"/>
          <w:sz w:val="24"/>
          <w:szCs w:val="24"/>
        </w:rPr>
        <w:t>RISA exempts ESOP fiduciaries from duty to diversify investments</w:t>
      </w:r>
    </w:p>
    <w:p w:rsidR="0011093A" w:rsidRPr="00C86949" w:rsidRDefault="0011093A" w:rsidP="00E10D85">
      <w:pPr>
        <w:pStyle w:val="Heading3"/>
        <w:spacing w:before="0" w:line="240" w:lineRule="auto"/>
        <w:ind w:left="1800" w:hanging="360"/>
        <w:rPr>
          <w:rFonts w:ascii="Times New Roman" w:hAnsi="Times New Roman" w:cs="Times New Roman"/>
          <w:b w:val="0"/>
          <w:caps/>
          <w:color w:val="auto"/>
          <w:sz w:val="24"/>
          <w:szCs w:val="24"/>
        </w:rPr>
      </w:pPr>
      <w:proofErr w:type="spellStart"/>
      <w:r w:rsidRPr="00C86949">
        <w:rPr>
          <w:rFonts w:ascii="Times New Roman" w:hAnsi="Times New Roman" w:cs="Times New Roman"/>
          <w:b w:val="0"/>
          <w:i/>
          <w:color w:val="auto"/>
          <w:sz w:val="24"/>
          <w:szCs w:val="24"/>
        </w:rPr>
        <w:t>Moench</w:t>
      </w:r>
      <w:proofErr w:type="spellEnd"/>
      <w:r w:rsidRPr="00C86949">
        <w:rPr>
          <w:rFonts w:ascii="Times New Roman" w:hAnsi="Times New Roman" w:cs="Times New Roman"/>
          <w:b w:val="0"/>
          <w:color w:val="auto"/>
          <w:sz w:val="24"/>
          <w:szCs w:val="24"/>
        </w:rPr>
        <w:t xml:space="preserve"> – bank sponsored ESOP</w:t>
      </w:r>
    </w:p>
    <w:p w:rsidR="0011093A" w:rsidRPr="00C86949" w:rsidRDefault="0011093A" w:rsidP="00E10D85">
      <w:pPr>
        <w:pStyle w:val="Heading3"/>
        <w:spacing w:before="0" w:line="240" w:lineRule="auto"/>
        <w:ind w:left="1800" w:hanging="360"/>
        <w:rPr>
          <w:rFonts w:ascii="Times New Roman" w:hAnsi="Times New Roman" w:cs="Times New Roman"/>
          <w:b w:val="0"/>
          <w:caps/>
          <w:color w:val="auto"/>
          <w:sz w:val="24"/>
          <w:szCs w:val="24"/>
        </w:rPr>
      </w:pPr>
      <w:r w:rsidRPr="00C86949">
        <w:rPr>
          <w:rFonts w:ascii="Times New Roman" w:hAnsi="Times New Roman" w:cs="Times New Roman"/>
          <w:b w:val="0"/>
          <w:color w:val="auto"/>
          <w:sz w:val="24"/>
          <w:szCs w:val="24"/>
        </w:rPr>
        <w:t>Bank under federal regulatory review – Board aware of significant problems</w:t>
      </w:r>
    </w:p>
    <w:p w:rsidR="0011093A" w:rsidRPr="00C86949" w:rsidRDefault="0011093A" w:rsidP="00E10D85">
      <w:pPr>
        <w:pStyle w:val="Heading3"/>
        <w:spacing w:before="0" w:line="240" w:lineRule="auto"/>
        <w:ind w:left="1800" w:hanging="360"/>
        <w:rPr>
          <w:rFonts w:ascii="Times New Roman" w:hAnsi="Times New Roman" w:cs="Times New Roman"/>
          <w:b w:val="0"/>
          <w:caps/>
          <w:color w:val="auto"/>
          <w:sz w:val="24"/>
          <w:szCs w:val="24"/>
        </w:rPr>
      </w:pPr>
      <w:r w:rsidRPr="00C86949">
        <w:rPr>
          <w:rFonts w:ascii="Times New Roman" w:hAnsi="Times New Roman" w:cs="Times New Roman"/>
          <w:b w:val="0"/>
          <w:color w:val="auto"/>
          <w:sz w:val="24"/>
          <w:szCs w:val="24"/>
        </w:rPr>
        <w:t>Board members served as ESOP investment committee</w:t>
      </w:r>
    </w:p>
    <w:p w:rsidR="0011093A" w:rsidRPr="00C86949" w:rsidRDefault="0011093A" w:rsidP="00E10D85">
      <w:pPr>
        <w:pStyle w:val="Heading3"/>
        <w:spacing w:before="0" w:line="240" w:lineRule="auto"/>
        <w:ind w:left="1800" w:hanging="360"/>
        <w:rPr>
          <w:rFonts w:ascii="Times New Roman" w:hAnsi="Times New Roman" w:cs="Times New Roman"/>
          <w:b w:val="0"/>
          <w:caps/>
          <w:color w:val="auto"/>
          <w:sz w:val="24"/>
          <w:szCs w:val="24"/>
        </w:rPr>
      </w:pPr>
      <w:r w:rsidRPr="00C86949">
        <w:rPr>
          <w:rFonts w:ascii="Times New Roman" w:hAnsi="Times New Roman" w:cs="Times New Roman"/>
          <w:b w:val="0"/>
          <w:caps/>
          <w:color w:val="auto"/>
          <w:sz w:val="24"/>
          <w:szCs w:val="24"/>
        </w:rPr>
        <w:t>S</w:t>
      </w:r>
      <w:r w:rsidRPr="00C86949">
        <w:rPr>
          <w:rFonts w:ascii="Times New Roman" w:hAnsi="Times New Roman" w:cs="Times New Roman"/>
          <w:b w:val="0"/>
          <w:color w:val="auto"/>
          <w:sz w:val="24"/>
          <w:szCs w:val="24"/>
        </w:rPr>
        <w:t>tock lost all of its value – shareholders sued, ESOP did not join</w:t>
      </w:r>
    </w:p>
    <w:p w:rsidR="00811C30" w:rsidRPr="00C86949" w:rsidRDefault="0011093A" w:rsidP="00E10D85">
      <w:pPr>
        <w:pStyle w:val="Heading3"/>
        <w:spacing w:before="0" w:line="240" w:lineRule="auto"/>
        <w:ind w:left="1800" w:hanging="360"/>
        <w:rPr>
          <w:rFonts w:ascii="Times New Roman" w:hAnsi="Times New Roman" w:cs="Times New Roman"/>
          <w:b w:val="0"/>
          <w:color w:val="auto"/>
          <w:sz w:val="24"/>
          <w:szCs w:val="24"/>
        </w:rPr>
      </w:pPr>
      <w:r w:rsidRPr="00C86949">
        <w:rPr>
          <w:rFonts w:ascii="Times New Roman" w:hAnsi="Times New Roman" w:cs="Times New Roman"/>
          <w:b w:val="0"/>
          <w:color w:val="auto"/>
          <w:sz w:val="24"/>
          <w:szCs w:val="24"/>
        </w:rPr>
        <w:t xml:space="preserve">Holding – ESOP investment fiduciary presumed </w:t>
      </w:r>
      <w:r w:rsidR="00811C30" w:rsidRPr="00C86949">
        <w:rPr>
          <w:rFonts w:ascii="Times New Roman" w:hAnsi="Times New Roman" w:cs="Times New Roman"/>
          <w:b w:val="0"/>
          <w:color w:val="auto"/>
          <w:sz w:val="24"/>
          <w:szCs w:val="24"/>
        </w:rPr>
        <w:t>to act consistently with ERISA</w:t>
      </w:r>
    </w:p>
    <w:p w:rsidR="00811C30" w:rsidRPr="00C86949" w:rsidRDefault="00811C30" w:rsidP="00C86949">
      <w:pPr>
        <w:pStyle w:val="Heading2"/>
        <w:numPr>
          <w:ilvl w:val="0"/>
          <w:numId w:val="0"/>
        </w:numPr>
        <w:spacing w:before="0" w:line="240" w:lineRule="auto"/>
        <w:ind w:left="720"/>
        <w:rPr>
          <w:rFonts w:ascii="Times New Roman" w:hAnsi="Times New Roman" w:cs="Times New Roman"/>
          <w:b w:val="0"/>
          <w:color w:val="auto"/>
          <w:sz w:val="24"/>
          <w:szCs w:val="24"/>
        </w:rPr>
      </w:pPr>
      <w:r w:rsidRPr="00C86949">
        <w:rPr>
          <w:rFonts w:ascii="Times New Roman" w:hAnsi="Times New Roman" w:cs="Times New Roman"/>
          <w:b w:val="0"/>
          <w:color w:val="auto"/>
          <w:sz w:val="24"/>
          <w:szCs w:val="24"/>
        </w:rPr>
        <w:t>B.</w:t>
      </w:r>
      <w:r w:rsidRPr="00C86949">
        <w:rPr>
          <w:rFonts w:ascii="Times New Roman" w:hAnsi="Times New Roman" w:cs="Times New Roman"/>
          <w:b w:val="0"/>
          <w:color w:val="auto"/>
          <w:sz w:val="24"/>
          <w:szCs w:val="24"/>
        </w:rPr>
        <w:tab/>
        <w:t xml:space="preserve">Several circuits have adopted </w:t>
      </w:r>
      <w:proofErr w:type="spellStart"/>
      <w:r w:rsidRPr="00C86949">
        <w:rPr>
          <w:rFonts w:ascii="Times New Roman" w:hAnsi="Times New Roman" w:cs="Times New Roman"/>
          <w:b w:val="0"/>
          <w:i/>
          <w:color w:val="auto"/>
          <w:sz w:val="24"/>
          <w:szCs w:val="24"/>
        </w:rPr>
        <w:t>Moench</w:t>
      </w:r>
      <w:proofErr w:type="spellEnd"/>
      <w:r w:rsidRPr="00C86949">
        <w:rPr>
          <w:rFonts w:ascii="Times New Roman" w:hAnsi="Times New Roman" w:cs="Times New Roman"/>
          <w:b w:val="0"/>
          <w:color w:val="auto"/>
          <w:sz w:val="24"/>
          <w:szCs w:val="24"/>
        </w:rPr>
        <w:t xml:space="preserve"> presumption</w:t>
      </w:r>
    </w:p>
    <w:p w:rsidR="00811C30" w:rsidRPr="00C86949" w:rsidRDefault="00811C30" w:rsidP="00C86949">
      <w:pPr>
        <w:spacing w:after="0" w:line="240" w:lineRule="auto"/>
        <w:rPr>
          <w:rFonts w:ascii="Times New Roman" w:hAnsi="Times New Roman" w:cs="Times New Roman"/>
          <w:sz w:val="24"/>
          <w:szCs w:val="24"/>
        </w:rPr>
      </w:pPr>
      <w:r w:rsidRPr="00C86949">
        <w:rPr>
          <w:rFonts w:ascii="Times New Roman" w:hAnsi="Times New Roman" w:cs="Times New Roman"/>
          <w:sz w:val="24"/>
          <w:szCs w:val="24"/>
        </w:rPr>
        <w:tab/>
        <w:t>C.</w:t>
      </w:r>
      <w:r w:rsidRPr="00C86949">
        <w:rPr>
          <w:rFonts w:ascii="Times New Roman" w:hAnsi="Times New Roman" w:cs="Times New Roman"/>
          <w:sz w:val="24"/>
          <w:szCs w:val="24"/>
        </w:rPr>
        <w:tab/>
        <w:t>Recent cases:</w:t>
      </w:r>
    </w:p>
    <w:p w:rsidR="00C86949" w:rsidRDefault="00C86949" w:rsidP="00C86949">
      <w:pPr>
        <w:spacing w:after="0" w:line="240" w:lineRule="auto"/>
        <w:rPr>
          <w:rFonts w:ascii="Times New Roman" w:hAnsi="Times New Roman" w:cs="Times New Roman"/>
          <w:sz w:val="24"/>
          <w:szCs w:val="24"/>
        </w:rPr>
      </w:pPr>
      <w:r w:rsidRPr="00C86949">
        <w:rPr>
          <w:rFonts w:ascii="Times New Roman" w:hAnsi="Times New Roman" w:cs="Times New Roman"/>
          <w:sz w:val="24"/>
          <w:szCs w:val="24"/>
        </w:rPr>
        <w:tab/>
      </w:r>
      <w:r w:rsidRPr="00C86949">
        <w:rPr>
          <w:rFonts w:ascii="Times New Roman" w:hAnsi="Times New Roman" w:cs="Times New Roman"/>
          <w:sz w:val="24"/>
          <w:szCs w:val="24"/>
        </w:rPr>
        <w:tab/>
        <w:t>1.</w:t>
      </w:r>
      <w:r w:rsidRPr="00C86949">
        <w:rPr>
          <w:rFonts w:ascii="Times New Roman" w:hAnsi="Times New Roman" w:cs="Times New Roman"/>
          <w:sz w:val="24"/>
          <w:szCs w:val="24"/>
        </w:rPr>
        <w:tab/>
      </w:r>
      <w:r>
        <w:rPr>
          <w:rFonts w:ascii="Times New Roman" w:hAnsi="Times New Roman" w:cs="Times New Roman"/>
          <w:i/>
          <w:sz w:val="24"/>
          <w:szCs w:val="24"/>
        </w:rPr>
        <w:t>In Re:  Citigroup ERISA Litigation</w:t>
      </w:r>
      <w:r>
        <w:rPr>
          <w:rFonts w:ascii="Times New Roman" w:hAnsi="Times New Roman" w:cs="Times New Roman"/>
          <w:sz w:val="24"/>
          <w:szCs w:val="24"/>
        </w:rPr>
        <w:t>, 662 F.3d 128 (2</w:t>
      </w:r>
      <w:r w:rsidRPr="00C86949">
        <w:rPr>
          <w:rFonts w:ascii="Times New Roman" w:hAnsi="Times New Roman" w:cs="Times New Roman"/>
          <w:sz w:val="24"/>
          <w:szCs w:val="24"/>
          <w:vertAlign w:val="superscript"/>
        </w:rPr>
        <w:t>nd</w:t>
      </w:r>
      <w:r>
        <w:rPr>
          <w:rFonts w:ascii="Times New Roman" w:hAnsi="Times New Roman" w:cs="Times New Roman"/>
          <w:sz w:val="24"/>
          <w:szCs w:val="24"/>
        </w:rPr>
        <w:t xml:space="preserve"> Cir. Oct. 19, 2011)</w:t>
      </w:r>
    </w:p>
    <w:p w:rsidR="00C86949" w:rsidRDefault="00C86949" w:rsidP="00E10D85">
      <w:pPr>
        <w:spacing w:after="0" w:line="240" w:lineRule="auto"/>
        <w:ind w:left="25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Adopted </w:t>
      </w:r>
      <w:proofErr w:type="spellStart"/>
      <w:r>
        <w:rPr>
          <w:rFonts w:ascii="Times New Roman" w:hAnsi="Times New Roman" w:cs="Times New Roman"/>
          <w:i/>
          <w:sz w:val="24"/>
          <w:szCs w:val="24"/>
        </w:rPr>
        <w:t>Moench</w:t>
      </w:r>
      <w:proofErr w:type="spellEnd"/>
      <w:r>
        <w:rPr>
          <w:rFonts w:ascii="Times New Roman" w:hAnsi="Times New Roman" w:cs="Times New Roman"/>
          <w:sz w:val="24"/>
          <w:szCs w:val="24"/>
        </w:rPr>
        <w:t xml:space="preserve"> presumption that fiduciary presumed to act prudently</w:t>
      </w:r>
    </w:p>
    <w:p w:rsidR="00C86949" w:rsidRPr="00C86949" w:rsidRDefault="00C86949" w:rsidP="00E10D85">
      <w:pPr>
        <w:spacing w:after="0" w:line="240" w:lineRule="auto"/>
        <w:ind w:left="2520" w:hanging="720"/>
        <w:rPr>
          <w:rFonts w:ascii="Times New Roman" w:hAnsi="Times New Roman" w:cs="Times New Roman"/>
          <w:i/>
          <w:sz w:val="24"/>
          <w:szCs w:val="24"/>
        </w:rPr>
      </w:pPr>
      <w:r>
        <w:rPr>
          <w:rFonts w:ascii="Times New Roman" w:hAnsi="Times New Roman" w:cs="Times New Roman"/>
          <w:sz w:val="24"/>
          <w:szCs w:val="24"/>
        </w:rPr>
        <w:t>b.</w:t>
      </w:r>
      <w:r>
        <w:rPr>
          <w:rFonts w:ascii="Times New Roman" w:hAnsi="Times New Roman" w:cs="Times New Roman"/>
          <w:sz w:val="24"/>
          <w:szCs w:val="24"/>
        </w:rPr>
        <w:tab/>
        <w:t>Unless overcome by dire circumstances objectively foreseeable</w:t>
      </w:r>
    </w:p>
    <w:p w:rsidR="00C86949" w:rsidRDefault="00C86949" w:rsidP="00E10D85">
      <w:pPr>
        <w:spacing w:after="0" w:line="240" w:lineRule="auto"/>
        <w:ind w:left="252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Fiduciary does not have a duty to provide nonpublic information regarding future performance</w:t>
      </w:r>
    </w:p>
    <w:p w:rsidR="00C86949" w:rsidRDefault="00C86949" w:rsidP="00C86949">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spellStart"/>
      <w:r>
        <w:rPr>
          <w:rFonts w:ascii="Times New Roman" w:hAnsi="Times New Roman" w:cs="Times New Roman"/>
          <w:i/>
          <w:sz w:val="24"/>
          <w:szCs w:val="24"/>
        </w:rPr>
        <w:t>Pfeil</w:t>
      </w:r>
      <w:proofErr w:type="spellEnd"/>
      <w:r>
        <w:rPr>
          <w:rFonts w:ascii="Times New Roman" w:hAnsi="Times New Roman" w:cs="Times New Roman"/>
          <w:i/>
          <w:sz w:val="24"/>
          <w:szCs w:val="24"/>
        </w:rPr>
        <w:t xml:space="preserve"> v. State Street Bank and Trust Co.</w:t>
      </w:r>
      <w:r w:rsidR="007360B2">
        <w:rPr>
          <w:rFonts w:ascii="Times New Roman" w:hAnsi="Times New Roman" w:cs="Times New Roman"/>
          <w:sz w:val="24"/>
          <w:szCs w:val="24"/>
        </w:rPr>
        <w:t>, 671 F.3d 585 (6</w:t>
      </w:r>
      <w:r w:rsidR="007360B2" w:rsidRPr="007360B2">
        <w:rPr>
          <w:rFonts w:ascii="Times New Roman" w:hAnsi="Times New Roman" w:cs="Times New Roman"/>
          <w:sz w:val="24"/>
          <w:szCs w:val="24"/>
          <w:vertAlign w:val="superscript"/>
        </w:rPr>
        <w:t>th</w:t>
      </w:r>
      <w:r w:rsidR="007360B2">
        <w:rPr>
          <w:rFonts w:ascii="Times New Roman" w:hAnsi="Times New Roman" w:cs="Times New Roman"/>
          <w:sz w:val="24"/>
          <w:szCs w:val="24"/>
        </w:rPr>
        <w:t xml:space="preserve"> Cir. 2012)</w:t>
      </w:r>
    </w:p>
    <w:p w:rsidR="007360B2" w:rsidRDefault="007360B2" w:rsidP="00E10D85">
      <w:pPr>
        <w:spacing w:after="0" w:line="240" w:lineRule="auto"/>
        <w:ind w:left="1800" w:hanging="720"/>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Participants in GM 401(k) Plan allege breach of fiduciary duty by </w:t>
      </w:r>
      <w:r>
        <w:rPr>
          <w:rFonts w:ascii="Times New Roman" w:hAnsi="Times New Roman" w:cs="Times New Roman"/>
          <w:sz w:val="24"/>
          <w:szCs w:val="24"/>
        </w:rPr>
        <w:tab/>
        <w:t>continuing to offer GM stock as an investment option</w:t>
      </w:r>
    </w:p>
    <w:p w:rsidR="007360B2" w:rsidRDefault="007360B2" w:rsidP="00E10D85">
      <w:pPr>
        <w:spacing w:after="0" w:line="240" w:lineRule="auto"/>
        <w:ind w:left="1800" w:hanging="72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Court held that </w:t>
      </w:r>
      <w:proofErr w:type="spellStart"/>
      <w:r>
        <w:rPr>
          <w:rFonts w:ascii="Times New Roman" w:hAnsi="Times New Roman" w:cs="Times New Roman"/>
          <w:i/>
          <w:sz w:val="24"/>
          <w:szCs w:val="24"/>
        </w:rPr>
        <w:t>Moench</w:t>
      </w:r>
      <w:proofErr w:type="spellEnd"/>
      <w:r>
        <w:rPr>
          <w:rFonts w:ascii="Times New Roman" w:hAnsi="Times New Roman" w:cs="Times New Roman"/>
          <w:sz w:val="24"/>
          <w:szCs w:val="24"/>
        </w:rPr>
        <w:t xml:space="preserve"> presumption not apply at pleading stage</w:t>
      </w:r>
    </w:p>
    <w:p w:rsidR="007360B2" w:rsidRDefault="007360B2" w:rsidP="00E10D85">
      <w:pPr>
        <w:spacing w:after="0" w:line="240" w:lineRule="auto"/>
        <w:ind w:left="1800" w:hanging="720"/>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Rebut presumption by showing a prudent fiduciary in similar </w:t>
      </w:r>
      <w:r>
        <w:rPr>
          <w:rFonts w:ascii="Times New Roman" w:hAnsi="Times New Roman" w:cs="Times New Roman"/>
          <w:sz w:val="24"/>
          <w:szCs w:val="24"/>
        </w:rPr>
        <w:tab/>
        <w:t>circumstances would have made a different decision</w:t>
      </w:r>
    </w:p>
    <w:p w:rsidR="002A07BF" w:rsidRDefault="002A07BF" w:rsidP="00E10D85">
      <w:pPr>
        <w:spacing w:after="0" w:line="240" w:lineRule="auto"/>
        <w:ind w:left="1800" w:hanging="720"/>
        <w:rPr>
          <w:rFonts w:ascii="Times New Roman" w:hAnsi="Times New Roman" w:cs="Times New Roman"/>
          <w:sz w:val="24"/>
          <w:szCs w:val="24"/>
        </w:rPr>
      </w:pPr>
    </w:p>
    <w:p w:rsidR="007360B2" w:rsidRDefault="007360B2" w:rsidP="007360B2">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00715774">
        <w:rPr>
          <w:rFonts w:ascii="Times New Roman" w:hAnsi="Times New Roman" w:cs="Times New Roman"/>
          <w:sz w:val="24"/>
          <w:szCs w:val="24"/>
          <w:u w:val="single"/>
        </w:rPr>
        <w:t>Duty to educate participants – authority of the SPD</w:t>
      </w:r>
      <w:r w:rsidR="00715774">
        <w:rPr>
          <w:rFonts w:ascii="Times New Roman" w:hAnsi="Times New Roman" w:cs="Times New Roman"/>
          <w:sz w:val="24"/>
          <w:szCs w:val="24"/>
        </w:rPr>
        <w:t xml:space="preserve">.  </w:t>
      </w:r>
      <w:r w:rsidR="00112C3C">
        <w:rPr>
          <w:rFonts w:ascii="Times New Roman" w:hAnsi="Times New Roman" w:cs="Times New Roman"/>
          <w:sz w:val="24"/>
          <w:szCs w:val="24"/>
        </w:rPr>
        <w:t xml:space="preserve">A pension plan fiduciary has a duty to educate plan participants on the provisions of their plan.  This includes a duty to provide participants with a Summary Plan Description.  In recent years, plan participants have brought actions based on discrepancies between an SPD and the associated plan document.  The Supreme Court recently issued an opinion </w:t>
      </w:r>
      <w:r w:rsidR="002A07BF">
        <w:rPr>
          <w:rFonts w:ascii="Times New Roman" w:hAnsi="Times New Roman" w:cs="Times New Roman"/>
          <w:sz w:val="24"/>
          <w:szCs w:val="24"/>
        </w:rPr>
        <w:t>addressing whether the terms of an SPD could establish plan participant rights.</w:t>
      </w:r>
      <w:r w:rsidR="00112C3C">
        <w:rPr>
          <w:rFonts w:ascii="Times New Roman" w:hAnsi="Times New Roman" w:cs="Times New Roman"/>
          <w:sz w:val="24"/>
          <w:szCs w:val="24"/>
        </w:rPr>
        <w:t xml:space="preserve">  </w:t>
      </w:r>
      <w:r>
        <w:rPr>
          <w:rFonts w:ascii="Times New Roman" w:hAnsi="Times New Roman" w:cs="Times New Roman"/>
          <w:i/>
          <w:sz w:val="24"/>
          <w:szCs w:val="24"/>
        </w:rPr>
        <w:t>CIGNA v. Amara</w:t>
      </w:r>
      <w:r>
        <w:rPr>
          <w:rFonts w:ascii="Times New Roman" w:hAnsi="Times New Roman" w:cs="Times New Roman"/>
          <w:sz w:val="24"/>
          <w:szCs w:val="24"/>
        </w:rPr>
        <w:t xml:space="preserve">, 131 </w:t>
      </w:r>
      <w:proofErr w:type="spellStart"/>
      <w:r>
        <w:rPr>
          <w:rFonts w:ascii="Times New Roman" w:hAnsi="Times New Roman" w:cs="Times New Roman"/>
          <w:sz w:val="24"/>
          <w:szCs w:val="24"/>
        </w:rPr>
        <w:t>S.Ct</w:t>
      </w:r>
      <w:proofErr w:type="spellEnd"/>
      <w:r>
        <w:rPr>
          <w:rFonts w:ascii="Times New Roman" w:hAnsi="Times New Roman" w:cs="Times New Roman"/>
          <w:sz w:val="24"/>
          <w:szCs w:val="24"/>
        </w:rPr>
        <w:t>. 1866</w:t>
      </w:r>
      <w:r w:rsidR="00EE4B62">
        <w:rPr>
          <w:rFonts w:ascii="Times New Roman" w:hAnsi="Times New Roman" w:cs="Times New Roman"/>
          <w:sz w:val="24"/>
          <w:szCs w:val="24"/>
        </w:rPr>
        <w:t xml:space="preserve"> (2011)</w:t>
      </w:r>
    </w:p>
    <w:p w:rsidR="00715774" w:rsidRDefault="00715774" w:rsidP="007360B2">
      <w:pPr>
        <w:spacing w:after="0" w:line="240" w:lineRule="auto"/>
        <w:ind w:left="720" w:hanging="720"/>
        <w:rPr>
          <w:rFonts w:ascii="Times New Roman" w:hAnsi="Times New Roman" w:cs="Times New Roman"/>
          <w:sz w:val="24"/>
          <w:szCs w:val="24"/>
        </w:rPr>
      </w:pPr>
    </w:p>
    <w:p w:rsidR="00EE4B62" w:rsidRDefault="00EE4B62" w:rsidP="00EE4B62">
      <w:pPr>
        <w:pStyle w:val="ListParagraph"/>
        <w:numPr>
          <w:ilvl w:val="0"/>
          <w:numId w:val="4"/>
        </w:num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CIGNA amended pension plan, provided information to Participants including a revised SPD</w:t>
      </w:r>
    </w:p>
    <w:p w:rsidR="00C86949" w:rsidRDefault="00EE4B62" w:rsidP="00C86949">
      <w:pPr>
        <w:pStyle w:val="ListParagraph"/>
        <w:numPr>
          <w:ilvl w:val="0"/>
          <w:numId w:val="4"/>
        </w:num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SPD was incomplete and misleading</w:t>
      </w:r>
      <w:r w:rsidR="00512455">
        <w:rPr>
          <w:rFonts w:ascii="Times New Roman" w:hAnsi="Times New Roman" w:cs="Times New Roman"/>
          <w:sz w:val="24"/>
          <w:szCs w:val="24"/>
        </w:rPr>
        <w:t>, thereby violating ERISA</w:t>
      </w:r>
    </w:p>
    <w:p w:rsidR="00512455" w:rsidRDefault="00512455" w:rsidP="00C86949">
      <w:pPr>
        <w:pStyle w:val="ListParagraph"/>
        <w:numPr>
          <w:ilvl w:val="0"/>
          <w:numId w:val="4"/>
        </w:num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District Ct presumed “likely harm” from misrepresentations and ordered CIGNA to reform Plan to match SPD</w:t>
      </w:r>
    </w:p>
    <w:p w:rsidR="00512455" w:rsidRDefault="00512455" w:rsidP="00C86949">
      <w:pPr>
        <w:pStyle w:val="ListParagraph"/>
        <w:numPr>
          <w:ilvl w:val="0"/>
          <w:numId w:val="4"/>
        </w:num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Supreme Ct. agreed that providing SPD is a fiduciary function</w:t>
      </w:r>
    </w:p>
    <w:p w:rsidR="00512455" w:rsidRDefault="00512455" w:rsidP="00C86949">
      <w:pPr>
        <w:pStyle w:val="ListParagraph"/>
        <w:numPr>
          <w:ilvl w:val="0"/>
          <w:numId w:val="4"/>
        </w:num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lastRenderedPageBreak/>
        <w:t>It held that ERISA authorizes claims to enforce provisions of the Plan, not the SPD</w:t>
      </w:r>
    </w:p>
    <w:p w:rsidR="00512455" w:rsidRDefault="00512455" w:rsidP="00C86949">
      <w:pPr>
        <w:pStyle w:val="ListParagraph"/>
        <w:numPr>
          <w:ilvl w:val="0"/>
          <w:numId w:val="4"/>
        </w:num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SPD cannot be read to amend the Plan</w:t>
      </w:r>
    </w:p>
    <w:p w:rsidR="00512455" w:rsidRDefault="00512455" w:rsidP="00C86949">
      <w:pPr>
        <w:pStyle w:val="ListParagraph"/>
        <w:numPr>
          <w:ilvl w:val="0"/>
          <w:numId w:val="4"/>
        </w:num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Issuance of intentionally misleading SPD might qualify for relief under ERISA “other equitable relief” provision</w:t>
      </w:r>
    </w:p>
    <w:p w:rsidR="00006F18" w:rsidRDefault="00006F18" w:rsidP="00C86949">
      <w:pPr>
        <w:pStyle w:val="ListParagraph"/>
        <w:numPr>
          <w:ilvl w:val="0"/>
          <w:numId w:val="4"/>
        </w:numPr>
        <w:spacing w:after="0" w:line="240" w:lineRule="auto"/>
        <w:ind w:left="1440" w:hanging="720"/>
        <w:rPr>
          <w:rFonts w:ascii="Times New Roman" w:hAnsi="Times New Roman" w:cs="Times New Roman"/>
          <w:sz w:val="24"/>
          <w:szCs w:val="24"/>
        </w:rPr>
      </w:pPr>
      <w:r>
        <w:rPr>
          <w:rFonts w:ascii="Times New Roman" w:hAnsi="Times New Roman" w:cs="Times New Roman"/>
          <w:i/>
          <w:sz w:val="24"/>
          <w:szCs w:val="24"/>
        </w:rPr>
        <w:t xml:space="preserve">Del Rosario v. King &amp; Prince </w:t>
      </w:r>
      <w:r w:rsidR="002A07BF">
        <w:rPr>
          <w:rFonts w:ascii="Times New Roman" w:hAnsi="Times New Roman" w:cs="Times New Roman"/>
          <w:i/>
          <w:sz w:val="24"/>
          <w:szCs w:val="24"/>
        </w:rPr>
        <w:t>S</w:t>
      </w:r>
      <w:r>
        <w:rPr>
          <w:rFonts w:ascii="Times New Roman" w:hAnsi="Times New Roman" w:cs="Times New Roman"/>
          <w:i/>
          <w:sz w:val="24"/>
          <w:szCs w:val="24"/>
        </w:rPr>
        <w:t>eafood corp.</w:t>
      </w:r>
      <w:r>
        <w:rPr>
          <w:rFonts w:ascii="Times New Roman" w:hAnsi="Times New Roman" w:cs="Times New Roman"/>
          <w:sz w:val="24"/>
          <w:szCs w:val="24"/>
        </w:rPr>
        <w:t>, 2011 U.S. App  LEXIS 13204 (11</w:t>
      </w:r>
      <w:r w:rsidRPr="00006F18">
        <w:rPr>
          <w:rFonts w:ascii="Times New Roman" w:hAnsi="Times New Roman" w:cs="Times New Roman"/>
          <w:sz w:val="24"/>
          <w:szCs w:val="24"/>
          <w:vertAlign w:val="superscript"/>
        </w:rPr>
        <w:t>th</w:t>
      </w:r>
      <w:r>
        <w:rPr>
          <w:rFonts w:ascii="Times New Roman" w:hAnsi="Times New Roman" w:cs="Times New Roman"/>
          <w:sz w:val="24"/>
          <w:szCs w:val="24"/>
        </w:rPr>
        <w:t xml:space="preserve"> Cir. June 28, 2011)</w:t>
      </w:r>
    </w:p>
    <w:p w:rsidR="00006F18" w:rsidRDefault="00006F18" w:rsidP="00006F18">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Allegation that Plan Administrator did not property explain distribution rights in notices</w:t>
      </w:r>
    </w:p>
    <w:p w:rsidR="00006F18" w:rsidRDefault="00006F18" w:rsidP="00006F18">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Court affirmed lower court dismissal of claims under ERISA sec. 502(a)(1)(B) because plaintiffs due not additional benefits under Plan</w:t>
      </w:r>
    </w:p>
    <w:p w:rsidR="00006F18" w:rsidRDefault="00006F18" w:rsidP="00006F18">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Case remanded for review in light of </w:t>
      </w:r>
      <w:r>
        <w:rPr>
          <w:rFonts w:ascii="Times New Roman" w:hAnsi="Times New Roman" w:cs="Times New Roman"/>
          <w:i/>
          <w:sz w:val="24"/>
          <w:szCs w:val="24"/>
        </w:rPr>
        <w:t>Amara</w:t>
      </w:r>
      <w:r>
        <w:rPr>
          <w:rFonts w:ascii="Times New Roman" w:hAnsi="Times New Roman" w:cs="Times New Roman"/>
          <w:sz w:val="24"/>
          <w:szCs w:val="24"/>
        </w:rPr>
        <w:t xml:space="preserve"> for breach of fiduciary duty under equitable surcharge theory</w:t>
      </w:r>
    </w:p>
    <w:p w:rsidR="00006F18" w:rsidRDefault="00006F18" w:rsidP="00006F18">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April 4, 2012, Court approved a $2.875 million settlement</w:t>
      </w:r>
    </w:p>
    <w:p w:rsidR="002A07BF" w:rsidRPr="002A07BF" w:rsidRDefault="002A07BF" w:rsidP="002A07BF">
      <w:pPr>
        <w:spacing w:after="0" w:line="240" w:lineRule="auto"/>
        <w:ind w:left="1440"/>
        <w:rPr>
          <w:rFonts w:ascii="Times New Roman" w:hAnsi="Times New Roman" w:cs="Times New Roman"/>
          <w:sz w:val="24"/>
          <w:szCs w:val="24"/>
        </w:rPr>
      </w:pPr>
    </w:p>
    <w:p w:rsidR="009772D5" w:rsidRDefault="00C521FB" w:rsidP="009772D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00715774">
        <w:rPr>
          <w:rFonts w:ascii="Times New Roman" w:hAnsi="Times New Roman" w:cs="Times New Roman"/>
          <w:sz w:val="24"/>
          <w:szCs w:val="24"/>
          <w:u w:val="single"/>
        </w:rPr>
        <w:t>Valuation date for determining benefits</w:t>
      </w:r>
      <w:r w:rsidR="00715774">
        <w:rPr>
          <w:rFonts w:ascii="Times New Roman" w:hAnsi="Times New Roman" w:cs="Times New Roman"/>
          <w:sz w:val="24"/>
          <w:szCs w:val="24"/>
        </w:rPr>
        <w:t xml:space="preserve">.  </w:t>
      </w:r>
      <w:r w:rsidR="002A07BF">
        <w:rPr>
          <w:rFonts w:ascii="Times New Roman" w:hAnsi="Times New Roman" w:cs="Times New Roman"/>
          <w:sz w:val="24"/>
          <w:szCs w:val="24"/>
        </w:rPr>
        <w:t xml:space="preserve">The date to be used to value a participant’s account for purposes of benefit distribution is an important issue for plan administrators.  This is a particularly important issue in times of rapid stock value fluctuation and can have a significant impact on an ESOP due to the reliance on company stock.  </w:t>
      </w:r>
    </w:p>
    <w:p w:rsidR="00C521FB" w:rsidRPr="009772D5" w:rsidRDefault="009772D5" w:rsidP="009772D5">
      <w:pPr>
        <w:pStyle w:val="ListParagraph"/>
        <w:numPr>
          <w:ilvl w:val="0"/>
          <w:numId w:val="5"/>
        </w:numPr>
        <w:spacing w:after="0" w:line="240" w:lineRule="auto"/>
        <w:ind w:left="1440" w:hanging="720"/>
        <w:rPr>
          <w:rFonts w:ascii="Times New Roman" w:hAnsi="Times New Roman" w:cs="Times New Roman"/>
          <w:sz w:val="24"/>
          <w:szCs w:val="24"/>
        </w:rPr>
      </w:pPr>
      <w:r w:rsidRPr="009772D5">
        <w:rPr>
          <w:rFonts w:ascii="Times New Roman" w:hAnsi="Times New Roman" w:cs="Times New Roman"/>
          <w:i/>
          <w:sz w:val="24"/>
          <w:szCs w:val="24"/>
        </w:rPr>
        <w:t>Wakamatsu v. Dentists/Plan</w:t>
      </w:r>
      <w:r w:rsidRPr="009772D5">
        <w:rPr>
          <w:rFonts w:ascii="Times New Roman" w:hAnsi="Times New Roman" w:cs="Times New Roman"/>
          <w:sz w:val="24"/>
          <w:szCs w:val="24"/>
        </w:rPr>
        <w:t>, No. C 11-00482 CR (D.C. N.D. Calif. 4/9/2012)</w:t>
      </w:r>
    </w:p>
    <w:p w:rsidR="009772D5" w:rsidRDefault="009772D5" w:rsidP="009772D5">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Ex-employee claimed 401(k) benefit 2 weeks before 2008 year end, based on her 2007 year end account value</w:t>
      </w:r>
    </w:p>
    <w:p w:rsidR="009772D5" w:rsidRDefault="009772D5" w:rsidP="009772D5">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Administrator determined that would be detrimental to other participants and delay payment to 2009 based on 2008 year end account value.  Reduction in benefit of about $35,736.</w:t>
      </w:r>
    </w:p>
    <w:p w:rsidR="00C86949" w:rsidRDefault="009772D5" w:rsidP="009772D5">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Court held that the Administrator acted reasonably and fulfilled duties to all plan participants by refusing to apply 2007 valuation</w:t>
      </w:r>
    </w:p>
    <w:p w:rsidR="009772D5" w:rsidRDefault="009772D5" w:rsidP="009772D5">
      <w:pPr>
        <w:pStyle w:val="ListParagraph"/>
        <w:numPr>
          <w:ilvl w:val="0"/>
          <w:numId w:val="6"/>
        </w:numPr>
        <w:spacing w:after="0" w:line="240" w:lineRule="auto"/>
        <w:ind w:left="1440" w:hanging="720"/>
        <w:rPr>
          <w:rFonts w:ascii="Times New Roman" w:hAnsi="Times New Roman" w:cs="Times New Roman"/>
          <w:sz w:val="24"/>
          <w:szCs w:val="24"/>
        </w:rPr>
      </w:pPr>
      <w:r>
        <w:rPr>
          <w:rFonts w:ascii="Times New Roman" w:hAnsi="Times New Roman" w:cs="Times New Roman"/>
          <w:i/>
          <w:sz w:val="24"/>
          <w:szCs w:val="24"/>
        </w:rPr>
        <w:t>McCabe v. Capital Mercury Apparel</w:t>
      </w:r>
      <w:r>
        <w:rPr>
          <w:rFonts w:ascii="Times New Roman" w:hAnsi="Times New Roman" w:cs="Times New Roman"/>
          <w:sz w:val="24"/>
          <w:szCs w:val="24"/>
        </w:rPr>
        <w:t>, 752 F.Supp.2</w:t>
      </w:r>
      <w:r w:rsidRPr="009772D5">
        <w:rPr>
          <w:rFonts w:ascii="Times New Roman" w:hAnsi="Times New Roman" w:cs="Times New Roman"/>
          <w:sz w:val="24"/>
          <w:szCs w:val="24"/>
          <w:vertAlign w:val="superscript"/>
        </w:rPr>
        <w:t>nd</w:t>
      </w:r>
      <w:r>
        <w:rPr>
          <w:rFonts w:ascii="Times New Roman" w:hAnsi="Times New Roman" w:cs="Times New Roman"/>
          <w:sz w:val="24"/>
          <w:szCs w:val="24"/>
        </w:rPr>
        <w:t xml:space="preserve"> 396 (SD.N.Y. 1/9/2010)</w:t>
      </w:r>
    </w:p>
    <w:p w:rsidR="009772D5" w:rsidRDefault="00AF07AE" w:rsidP="009772D5">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ESOP company liquidating assets and winding down</w:t>
      </w:r>
    </w:p>
    <w:p w:rsidR="00AF07AE" w:rsidRDefault="00AF07AE" w:rsidP="009772D5">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Directed ESOP distributions to vested terminated participants with accounts of less than $1,000 based on most recent valuation.  Most recent valuation was $0.015/share as of June 20, 2008.</w:t>
      </w:r>
    </w:p>
    <w:p w:rsidR="00AF07AE" w:rsidRDefault="00AF07AE" w:rsidP="009772D5">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Paid out on June 1, 2009.</w:t>
      </w:r>
    </w:p>
    <w:p w:rsidR="00AF07AE" w:rsidRDefault="00AF07AE" w:rsidP="009772D5">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Share value on June 30, 2009 - $0.13</w:t>
      </w:r>
    </w:p>
    <w:p w:rsidR="00AF07AE" w:rsidRDefault="00AF07AE" w:rsidP="009772D5">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Court held distribution using June 30, 2008 value proper under the plan terms and that ERISA fiduciary had duty to follow plan terms unless contrary to ERISA)</w:t>
      </w:r>
    </w:p>
    <w:p w:rsidR="002A07BF" w:rsidRPr="002A07BF" w:rsidRDefault="002A07BF" w:rsidP="002A07BF">
      <w:pPr>
        <w:spacing w:after="0" w:line="240" w:lineRule="auto"/>
        <w:ind w:left="1440"/>
        <w:rPr>
          <w:rFonts w:ascii="Times New Roman" w:hAnsi="Times New Roman" w:cs="Times New Roman"/>
          <w:sz w:val="24"/>
          <w:szCs w:val="24"/>
        </w:rPr>
      </w:pPr>
    </w:p>
    <w:p w:rsidR="00292E92" w:rsidRDefault="00292E92" w:rsidP="00292E92">
      <w:pPr>
        <w:spacing w:after="0" w:line="240" w:lineRule="auto"/>
        <w:ind w:left="90"/>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r>
      <w:r w:rsidR="00715774">
        <w:rPr>
          <w:rFonts w:ascii="Times New Roman" w:hAnsi="Times New Roman" w:cs="Times New Roman"/>
          <w:sz w:val="24"/>
          <w:szCs w:val="24"/>
          <w:u w:val="single"/>
        </w:rPr>
        <w:t>Ensuring that an ESOP does not overpay for company stock</w:t>
      </w:r>
      <w:r w:rsidR="00715774">
        <w:rPr>
          <w:rFonts w:ascii="Times New Roman" w:hAnsi="Times New Roman" w:cs="Times New Roman"/>
          <w:sz w:val="24"/>
          <w:szCs w:val="24"/>
        </w:rPr>
        <w:t xml:space="preserve">.  </w:t>
      </w:r>
      <w:r w:rsidR="002A07BF">
        <w:rPr>
          <w:rFonts w:ascii="Times New Roman" w:hAnsi="Times New Roman" w:cs="Times New Roman"/>
          <w:sz w:val="24"/>
          <w:szCs w:val="24"/>
        </w:rPr>
        <w:t xml:space="preserve">One of an ESOP fiduciary’s duties is to pay no more than </w:t>
      </w:r>
      <w:r w:rsidR="001A328E">
        <w:rPr>
          <w:rFonts w:ascii="Times New Roman" w:hAnsi="Times New Roman" w:cs="Times New Roman"/>
          <w:sz w:val="24"/>
          <w:szCs w:val="24"/>
        </w:rPr>
        <w:t xml:space="preserve">fair market value for company stock.  If the stock received by the ESOP in exchange for its payment does not constitute “adequate consideration”, the transaction is a prohibited transaction subject to sanction.  Therefore, the manner of determining the purchase price for ESOP transactions is extremely important.  </w:t>
      </w:r>
    </w:p>
    <w:p w:rsidR="00292E92" w:rsidRDefault="00292E92" w:rsidP="00292E92">
      <w:pPr>
        <w:pStyle w:val="ListParagraph"/>
        <w:numPr>
          <w:ilvl w:val="0"/>
          <w:numId w:val="7"/>
        </w:numPr>
        <w:spacing w:after="0" w:line="240" w:lineRule="auto"/>
        <w:ind w:left="1440" w:hanging="720"/>
        <w:rPr>
          <w:rFonts w:ascii="Times New Roman" w:hAnsi="Times New Roman" w:cs="Times New Roman"/>
          <w:sz w:val="24"/>
          <w:szCs w:val="24"/>
        </w:rPr>
      </w:pPr>
      <w:r>
        <w:rPr>
          <w:rFonts w:ascii="Times New Roman" w:hAnsi="Times New Roman" w:cs="Times New Roman"/>
          <w:i/>
          <w:sz w:val="24"/>
          <w:szCs w:val="24"/>
        </w:rPr>
        <w:t>Kenny Christopher, as Trustee of Embroidery Library, Inc. ESOP v. Harlan L. Hanson</w:t>
      </w:r>
      <w:r>
        <w:rPr>
          <w:rFonts w:ascii="Times New Roman" w:hAnsi="Times New Roman" w:cs="Times New Roman"/>
          <w:sz w:val="24"/>
          <w:szCs w:val="24"/>
        </w:rPr>
        <w:t>, 2011 U.S. Dist. Lexis 60201 (D. Minn. June 6, 2011)</w:t>
      </w:r>
    </w:p>
    <w:p w:rsidR="00292E92" w:rsidRDefault="00292E92" w:rsidP="00E10D85">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ESOP trustee alleged former corporate board members and former ESOP trustee breached duties by inflating stock price in sales to ESOP and forcing company to enter into burdensome restrictive covenants</w:t>
      </w:r>
    </w:p>
    <w:p w:rsidR="00292E92" w:rsidRDefault="00292E92" w:rsidP="00E10D85">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Mr. Hanson and his family owned 70% of corporate stock, he also was the ESOP trustee at time of transactions</w:t>
      </w:r>
    </w:p>
    <w:p w:rsidR="00292E92" w:rsidRDefault="00292E92" w:rsidP="00E10D85">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No independent trustee for either transactions</w:t>
      </w:r>
    </w:p>
    <w:p w:rsidR="00292E92" w:rsidRDefault="00292E92" w:rsidP="00E10D85">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Appraiser valued company at $15.2 million</w:t>
      </w:r>
    </w:p>
    <w:p w:rsidR="00292E92" w:rsidRDefault="00292E92" w:rsidP="00E10D85">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0A4A5B">
        <w:rPr>
          <w:rFonts w:ascii="Times New Roman" w:hAnsi="Times New Roman" w:cs="Times New Roman"/>
          <w:sz w:val="24"/>
          <w:szCs w:val="24"/>
        </w:rPr>
        <w:t>llegedly, appraiser not told tha</w:t>
      </w:r>
      <w:r>
        <w:rPr>
          <w:rFonts w:ascii="Times New Roman" w:hAnsi="Times New Roman" w:cs="Times New Roman"/>
          <w:sz w:val="24"/>
          <w:szCs w:val="24"/>
        </w:rPr>
        <w:t xml:space="preserve">t </w:t>
      </w:r>
      <w:r w:rsidR="00D17B63">
        <w:rPr>
          <w:rFonts w:ascii="Times New Roman" w:hAnsi="Times New Roman" w:cs="Times New Roman"/>
          <w:sz w:val="24"/>
          <w:szCs w:val="24"/>
        </w:rPr>
        <w:t xml:space="preserve">in 2004 </w:t>
      </w:r>
      <w:r>
        <w:rPr>
          <w:rFonts w:ascii="Times New Roman" w:hAnsi="Times New Roman" w:cs="Times New Roman"/>
          <w:sz w:val="24"/>
          <w:szCs w:val="24"/>
        </w:rPr>
        <w:t xml:space="preserve">an investment banking firm trying to market the company at that time only received offers up to $4.4 million and valuation </w:t>
      </w:r>
      <w:r w:rsidR="00D17B63">
        <w:rPr>
          <w:rFonts w:ascii="Times New Roman" w:hAnsi="Times New Roman" w:cs="Times New Roman"/>
          <w:sz w:val="24"/>
          <w:szCs w:val="24"/>
        </w:rPr>
        <w:t>at that time came in at $5.6 million</w:t>
      </w:r>
    </w:p>
    <w:p w:rsidR="00D17B63" w:rsidRDefault="00D17B63" w:rsidP="00E10D85">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In spring 2006, Mr. Hanson allegedly told Company president that she would be fired if he was not able to sell the remainder of his stock to the ESOP in December for $275 per share</w:t>
      </w:r>
    </w:p>
    <w:p w:rsidR="00D17B63" w:rsidRDefault="00D17B63" w:rsidP="00E10D85">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Defendants resigned seats on Board on December 31, 2006, second transaction completed later that same day</w:t>
      </w:r>
    </w:p>
    <w:p w:rsidR="00D17B63" w:rsidRDefault="00D17B63" w:rsidP="00E10D85">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Defendants sought summary judgment </w:t>
      </w:r>
      <w:r w:rsidR="00715774">
        <w:rPr>
          <w:rFonts w:ascii="Times New Roman" w:hAnsi="Times New Roman" w:cs="Times New Roman"/>
          <w:sz w:val="24"/>
          <w:szCs w:val="24"/>
        </w:rPr>
        <w:t>and mad</w:t>
      </w:r>
      <w:r>
        <w:rPr>
          <w:rFonts w:ascii="Times New Roman" w:hAnsi="Times New Roman" w:cs="Times New Roman"/>
          <w:sz w:val="24"/>
          <w:szCs w:val="24"/>
        </w:rPr>
        <w:t>e several arguments including that they were not fiduciaries at time of transaction, no violation of fiduciary duty occurred and there was “adequate consideration”</w:t>
      </w:r>
    </w:p>
    <w:p w:rsidR="00D17B63" w:rsidRDefault="00D17B63" w:rsidP="00E10D85">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Court denied all but one summary judgment claim</w:t>
      </w:r>
    </w:p>
    <w:p w:rsidR="00D17B63" w:rsidRDefault="00D17B63" w:rsidP="00E10D85">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It found sufficient evidence of breach of duty of loyalty and prudence, failure to follow corporate counsel’s advice that ESOP should have independent counsel</w:t>
      </w:r>
      <w:r w:rsidR="00DC42DA">
        <w:rPr>
          <w:rFonts w:ascii="Times New Roman" w:hAnsi="Times New Roman" w:cs="Times New Roman"/>
          <w:sz w:val="24"/>
          <w:szCs w:val="24"/>
        </w:rPr>
        <w:t>, failure to provide appraiser with information on efforts to sell company and that share prices were too high</w:t>
      </w:r>
    </w:p>
    <w:p w:rsidR="00DA64C3" w:rsidRDefault="000A4A5B" w:rsidP="00DA64C3">
      <w:pPr>
        <w:pStyle w:val="ListParagraph"/>
        <w:numPr>
          <w:ilvl w:val="0"/>
          <w:numId w:val="7"/>
        </w:numPr>
        <w:spacing w:after="0" w:line="240" w:lineRule="auto"/>
        <w:ind w:left="1440" w:hanging="720"/>
        <w:rPr>
          <w:rFonts w:ascii="Times New Roman" w:hAnsi="Times New Roman" w:cs="Times New Roman"/>
          <w:sz w:val="24"/>
          <w:szCs w:val="24"/>
        </w:rPr>
      </w:pPr>
      <w:r>
        <w:rPr>
          <w:rFonts w:ascii="Times New Roman" w:hAnsi="Times New Roman" w:cs="Times New Roman"/>
          <w:i/>
          <w:sz w:val="24"/>
          <w:szCs w:val="24"/>
        </w:rPr>
        <w:t xml:space="preserve">Bacon v. </w:t>
      </w:r>
      <w:proofErr w:type="spellStart"/>
      <w:r>
        <w:rPr>
          <w:rFonts w:ascii="Times New Roman" w:hAnsi="Times New Roman" w:cs="Times New Roman"/>
          <w:i/>
          <w:sz w:val="24"/>
          <w:szCs w:val="24"/>
        </w:rPr>
        <w:t>Stiefel</w:t>
      </w:r>
      <w:proofErr w:type="spellEnd"/>
      <w:r>
        <w:rPr>
          <w:rFonts w:ascii="Times New Roman" w:hAnsi="Times New Roman" w:cs="Times New Roman"/>
          <w:i/>
          <w:sz w:val="24"/>
          <w:szCs w:val="24"/>
        </w:rPr>
        <w:t xml:space="preserve"> Laboratories, Inc.</w:t>
      </w:r>
      <w:r>
        <w:rPr>
          <w:rFonts w:ascii="Times New Roman" w:hAnsi="Times New Roman" w:cs="Times New Roman"/>
          <w:sz w:val="24"/>
          <w:szCs w:val="24"/>
        </w:rPr>
        <w:t xml:space="preserve">, 677 </w:t>
      </w:r>
      <w:proofErr w:type="spellStart"/>
      <w:r>
        <w:rPr>
          <w:rFonts w:ascii="Times New Roman" w:hAnsi="Times New Roman" w:cs="Times New Roman"/>
          <w:sz w:val="24"/>
          <w:szCs w:val="24"/>
        </w:rPr>
        <w:t>F.Supp</w:t>
      </w:r>
      <w:proofErr w:type="spellEnd"/>
      <w:r>
        <w:rPr>
          <w:rFonts w:ascii="Times New Roman" w:hAnsi="Times New Roman" w:cs="Times New Roman"/>
          <w:sz w:val="24"/>
          <w:szCs w:val="24"/>
        </w:rPr>
        <w:t>. 2d 1331 (S.D. Fl. 2010)</w:t>
      </w:r>
    </w:p>
    <w:p w:rsidR="000A4A5B" w:rsidRDefault="000A4A5B" w:rsidP="00E10D85">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Company terminated stock bonus plan – offered participants option to put shares to company for $16.459 per share</w:t>
      </w:r>
    </w:p>
    <w:p w:rsidR="000A4A5B" w:rsidRDefault="000A4A5B" w:rsidP="00E10D85">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Company confidentially engaged in merger talks at that time.</w:t>
      </w:r>
    </w:p>
    <w:p w:rsidR="000A4A5B" w:rsidRDefault="000A4A5B" w:rsidP="00E10D85">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Merger closed with a price of $68.515 per share</w:t>
      </w:r>
    </w:p>
    <w:p w:rsidR="000A4A5B" w:rsidRDefault="000A4A5B" w:rsidP="00E10D85">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Court denied defendant’s motion to dismiss finding that a reasonable participant would have wanted to know of merger discussions</w:t>
      </w:r>
    </w:p>
    <w:p w:rsidR="001A328E" w:rsidRPr="001A328E" w:rsidRDefault="001A328E" w:rsidP="001A328E">
      <w:pPr>
        <w:spacing w:after="0" w:line="240" w:lineRule="auto"/>
        <w:ind w:left="1440"/>
        <w:rPr>
          <w:rFonts w:ascii="Times New Roman" w:hAnsi="Times New Roman" w:cs="Times New Roman"/>
          <w:sz w:val="24"/>
          <w:szCs w:val="24"/>
        </w:rPr>
      </w:pPr>
    </w:p>
    <w:p w:rsidR="00E10D85" w:rsidRDefault="00E10D85" w:rsidP="00E10D85">
      <w:pPr>
        <w:spacing w:after="0" w:line="240" w:lineRule="auto"/>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sidR="00715774">
        <w:rPr>
          <w:rFonts w:ascii="Times New Roman" w:hAnsi="Times New Roman" w:cs="Times New Roman"/>
          <w:sz w:val="24"/>
          <w:szCs w:val="24"/>
          <w:u w:val="single"/>
        </w:rPr>
        <w:t>Potential conflicts of interest when ESOP is majority shareholder</w:t>
      </w:r>
      <w:r w:rsidR="00715774">
        <w:rPr>
          <w:rFonts w:ascii="Times New Roman" w:hAnsi="Times New Roman" w:cs="Times New Roman"/>
          <w:sz w:val="24"/>
          <w:szCs w:val="24"/>
        </w:rPr>
        <w:t xml:space="preserve">.  </w:t>
      </w:r>
      <w:r w:rsidR="002C1B0D">
        <w:rPr>
          <w:rFonts w:ascii="Times New Roman" w:hAnsi="Times New Roman" w:cs="Times New Roman"/>
          <w:sz w:val="24"/>
          <w:szCs w:val="24"/>
        </w:rPr>
        <w:t xml:space="preserve">Special challenges can arise when an ESOP becomes the majority shareholder of a company.  Frequently, in those situations, key employees are members of the corporate board and are </w:t>
      </w:r>
      <w:r w:rsidR="000A1774">
        <w:rPr>
          <w:rFonts w:ascii="Times New Roman" w:hAnsi="Times New Roman" w:cs="Times New Roman"/>
          <w:sz w:val="24"/>
          <w:szCs w:val="24"/>
        </w:rPr>
        <w:t>plan trustees.  When that happens, conflicts of interest, or the appearance of conflicts of interest can arise.  When the ESOP is the majority shareholder, the ESOP can have responsibility for company operational problems.</w:t>
      </w:r>
    </w:p>
    <w:p w:rsidR="00E10D85" w:rsidRDefault="00E10D85" w:rsidP="00E10D85">
      <w:pPr>
        <w:spacing w:after="0" w:line="240" w:lineRule="auto"/>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Pr>
          <w:rFonts w:ascii="Times New Roman" w:hAnsi="Times New Roman" w:cs="Times New Roman"/>
          <w:i/>
          <w:sz w:val="24"/>
          <w:szCs w:val="24"/>
        </w:rPr>
        <w:t>Johnson v. Couturier</w:t>
      </w:r>
      <w:r>
        <w:rPr>
          <w:rFonts w:ascii="Times New Roman" w:hAnsi="Times New Roman" w:cs="Times New Roman"/>
          <w:sz w:val="24"/>
          <w:szCs w:val="24"/>
        </w:rPr>
        <w:t>, 572 F.3d 1067 (9</w:t>
      </w:r>
      <w:r w:rsidRPr="00E10D85">
        <w:rPr>
          <w:rFonts w:ascii="Times New Roman" w:hAnsi="Times New Roman" w:cs="Times New Roman"/>
          <w:sz w:val="24"/>
          <w:szCs w:val="24"/>
          <w:vertAlign w:val="superscript"/>
        </w:rPr>
        <w:t>th</w:t>
      </w:r>
      <w:r>
        <w:rPr>
          <w:rFonts w:ascii="Times New Roman" w:hAnsi="Times New Roman" w:cs="Times New Roman"/>
          <w:sz w:val="24"/>
          <w:szCs w:val="24"/>
        </w:rPr>
        <w:t xml:space="preserve"> Cir. 2009)</w:t>
      </w:r>
    </w:p>
    <w:p w:rsidR="00E10D85" w:rsidRDefault="00E10D85" w:rsidP="00E725F6">
      <w:pPr>
        <w:spacing w:after="0" w:line="240" w:lineRule="auto"/>
        <w:ind w:left="180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ESOP participants challenged President’s executive compensation package</w:t>
      </w:r>
    </w:p>
    <w:p w:rsidR="00055BBD" w:rsidRDefault="00E725F6" w:rsidP="00E725F6">
      <w:pPr>
        <w:spacing w:after="0" w:line="240" w:lineRule="auto"/>
        <w:ind w:left="180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055BBD">
        <w:rPr>
          <w:rFonts w:ascii="Times New Roman" w:hAnsi="Times New Roman" w:cs="Times New Roman"/>
          <w:sz w:val="24"/>
          <w:szCs w:val="24"/>
        </w:rPr>
        <w:t>ESOP was sole corporate shareholder</w:t>
      </w:r>
    </w:p>
    <w:p w:rsidR="00E725F6" w:rsidRDefault="00055BBD" w:rsidP="00E725F6">
      <w:pPr>
        <w:spacing w:after="0" w:line="240" w:lineRule="auto"/>
        <w:ind w:left="180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E725F6">
        <w:rPr>
          <w:rFonts w:ascii="Times New Roman" w:hAnsi="Times New Roman" w:cs="Times New Roman"/>
          <w:sz w:val="24"/>
          <w:szCs w:val="24"/>
        </w:rPr>
        <w:t>President was sole ESOP Trustee</w:t>
      </w:r>
    </w:p>
    <w:p w:rsidR="00E725F6" w:rsidRDefault="00055BBD" w:rsidP="00E725F6">
      <w:pPr>
        <w:spacing w:after="0" w:line="240" w:lineRule="auto"/>
        <w:ind w:left="1800" w:hanging="360"/>
        <w:rPr>
          <w:rFonts w:ascii="Times New Roman" w:hAnsi="Times New Roman" w:cs="Times New Roman"/>
          <w:sz w:val="24"/>
          <w:szCs w:val="24"/>
        </w:rPr>
      </w:pPr>
      <w:r>
        <w:rPr>
          <w:rFonts w:ascii="Times New Roman" w:hAnsi="Times New Roman" w:cs="Times New Roman"/>
          <w:sz w:val="24"/>
          <w:szCs w:val="24"/>
        </w:rPr>
        <w:t>4</w:t>
      </w:r>
      <w:r w:rsidR="00E725F6">
        <w:rPr>
          <w:rFonts w:ascii="Times New Roman" w:hAnsi="Times New Roman" w:cs="Times New Roman"/>
          <w:sz w:val="24"/>
          <w:szCs w:val="24"/>
        </w:rPr>
        <w:t>.</w:t>
      </w:r>
      <w:r w:rsidR="00E725F6">
        <w:rPr>
          <w:rFonts w:ascii="Times New Roman" w:hAnsi="Times New Roman" w:cs="Times New Roman"/>
          <w:sz w:val="24"/>
          <w:szCs w:val="24"/>
        </w:rPr>
        <w:tab/>
        <w:t xml:space="preserve">He was also one of two members of the board </w:t>
      </w:r>
    </w:p>
    <w:p w:rsidR="00E725F6" w:rsidRDefault="00055BBD" w:rsidP="00E725F6">
      <w:pPr>
        <w:spacing w:after="0" w:line="240" w:lineRule="auto"/>
        <w:ind w:left="1800" w:hanging="360"/>
        <w:rPr>
          <w:rFonts w:ascii="Times New Roman" w:hAnsi="Times New Roman" w:cs="Times New Roman"/>
          <w:sz w:val="24"/>
          <w:szCs w:val="24"/>
        </w:rPr>
      </w:pPr>
      <w:r>
        <w:rPr>
          <w:rFonts w:ascii="Times New Roman" w:hAnsi="Times New Roman" w:cs="Times New Roman"/>
          <w:sz w:val="24"/>
          <w:szCs w:val="24"/>
        </w:rPr>
        <w:t>5</w:t>
      </w:r>
      <w:r w:rsidR="00E725F6">
        <w:rPr>
          <w:rFonts w:ascii="Times New Roman" w:hAnsi="Times New Roman" w:cs="Times New Roman"/>
          <w:sz w:val="24"/>
          <w:szCs w:val="24"/>
        </w:rPr>
        <w:tab/>
        <w:t>Court found corporate directors were subject to ERISA fiduciary duties for business decisions resulting in excessive compensation</w:t>
      </w:r>
    </w:p>
    <w:p w:rsidR="00055BBD" w:rsidRDefault="00055BBD" w:rsidP="00055BBD">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i/>
          <w:sz w:val="24"/>
          <w:szCs w:val="24"/>
        </w:rPr>
        <w:t>Jimenez v. Mayfield Lumber and Container Corporation</w:t>
      </w:r>
      <w:r>
        <w:rPr>
          <w:rFonts w:ascii="Times New Roman" w:hAnsi="Times New Roman" w:cs="Times New Roman"/>
          <w:sz w:val="24"/>
          <w:szCs w:val="24"/>
        </w:rPr>
        <w:t>, 2012 WL 176185 (W.D. Tex. Jan. 20, 2012)</w:t>
      </w:r>
    </w:p>
    <w:p w:rsidR="00055BBD" w:rsidRDefault="00055BBD" w:rsidP="00055BBD">
      <w:pPr>
        <w:spacing w:after="0" w:line="240" w:lineRule="auto"/>
        <w:ind w:left="1800" w:hanging="360"/>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r>
      <w:r w:rsidR="00390AA5">
        <w:rPr>
          <w:rFonts w:ascii="Times New Roman" w:hAnsi="Times New Roman" w:cs="Times New Roman"/>
          <w:sz w:val="24"/>
          <w:szCs w:val="24"/>
        </w:rPr>
        <w:t>Complaint alleged that Mayfield was ESOP administrator, but did not allege bad acts by Mayfield</w:t>
      </w:r>
    </w:p>
    <w:p w:rsidR="00390AA5" w:rsidRDefault="00390AA5" w:rsidP="00055BBD">
      <w:pPr>
        <w:spacing w:after="0" w:line="240" w:lineRule="auto"/>
        <w:ind w:left="180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Instead, it alleged bad acts such as opting out of a lease, entering into a $3 million loan and self-dealing by a high ranking employee</w:t>
      </w:r>
    </w:p>
    <w:p w:rsidR="00390AA5" w:rsidRDefault="00390AA5" w:rsidP="00055BBD">
      <w:pPr>
        <w:spacing w:after="0" w:line="240" w:lineRule="auto"/>
        <w:ind w:left="180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Court dismissed the case on the basis that the plaintiff failed to sue a plan fiduciary</w:t>
      </w:r>
    </w:p>
    <w:p w:rsidR="00390AA5" w:rsidRDefault="00390AA5" w:rsidP="00055BBD">
      <w:pPr>
        <w:spacing w:after="0" w:line="240" w:lineRule="auto"/>
        <w:ind w:left="1800" w:hanging="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Court also found that alleged misconduct was related to corporate, not fiduciary, acts</w:t>
      </w:r>
    </w:p>
    <w:p w:rsidR="001C11E5" w:rsidRDefault="001C11E5" w:rsidP="00055BBD">
      <w:pPr>
        <w:spacing w:after="0" w:line="240" w:lineRule="auto"/>
        <w:ind w:left="1800" w:hanging="360"/>
        <w:rPr>
          <w:rFonts w:ascii="Times New Roman" w:hAnsi="Times New Roman" w:cs="Times New Roman"/>
          <w:sz w:val="24"/>
          <w:szCs w:val="24"/>
        </w:rPr>
      </w:pPr>
    </w:p>
    <w:p w:rsidR="00FB619B" w:rsidRDefault="00FB619B" w:rsidP="00C7664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VI.</w:t>
      </w:r>
      <w:r>
        <w:rPr>
          <w:rFonts w:ascii="Times New Roman" w:hAnsi="Times New Roman" w:cs="Times New Roman"/>
          <w:sz w:val="24"/>
          <w:szCs w:val="24"/>
        </w:rPr>
        <w:tab/>
      </w:r>
      <w:r w:rsidR="00715774">
        <w:rPr>
          <w:rFonts w:ascii="Times New Roman" w:hAnsi="Times New Roman" w:cs="Times New Roman"/>
          <w:sz w:val="24"/>
          <w:szCs w:val="24"/>
          <w:u w:val="single"/>
        </w:rPr>
        <w:t>Participant’s rights to company information</w:t>
      </w:r>
      <w:r w:rsidR="00715774">
        <w:rPr>
          <w:rFonts w:ascii="Times New Roman" w:hAnsi="Times New Roman" w:cs="Times New Roman"/>
          <w:sz w:val="24"/>
          <w:szCs w:val="24"/>
        </w:rPr>
        <w:t xml:space="preserve">.  </w:t>
      </w:r>
      <w:r w:rsidR="000A1774">
        <w:rPr>
          <w:rFonts w:ascii="Times New Roman" w:hAnsi="Times New Roman" w:cs="Times New Roman"/>
          <w:sz w:val="24"/>
          <w:szCs w:val="24"/>
        </w:rPr>
        <w:t>Is a company, or a ESOP, required to provide a</w:t>
      </w:r>
      <w:r>
        <w:rPr>
          <w:rFonts w:ascii="Times New Roman" w:hAnsi="Times New Roman" w:cs="Times New Roman"/>
          <w:sz w:val="24"/>
          <w:szCs w:val="24"/>
        </w:rPr>
        <w:t xml:space="preserve"> valuation report</w:t>
      </w:r>
      <w:r w:rsidR="000A1774">
        <w:rPr>
          <w:rFonts w:ascii="Times New Roman" w:hAnsi="Times New Roman" w:cs="Times New Roman"/>
          <w:sz w:val="24"/>
          <w:szCs w:val="24"/>
        </w:rPr>
        <w:t xml:space="preserve"> to participants?</w:t>
      </w:r>
      <w:r w:rsidR="00C76648">
        <w:rPr>
          <w:rFonts w:ascii="Times New Roman" w:hAnsi="Times New Roman" w:cs="Times New Roman"/>
          <w:sz w:val="24"/>
          <w:szCs w:val="24"/>
        </w:rPr>
        <w:t xml:space="preserve"> - </w:t>
      </w:r>
      <w:proofErr w:type="spellStart"/>
      <w:r w:rsidRPr="00FB619B">
        <w:rPr>
          <w:rFonts w:ascii="Times New Roman" w:hAnsi="Times New Roman" w:cs="Times New Roman"/>
          <w:i/>
          <w:sz w:val="24"/>
          <w:szCs w:val="24"/>
        </w:rPr>
        <w:t>Boyajian</w:t>
      </w:r>
      <w:proofErr w:type="spellEnd"/>
      <w:r w:rsidRPr="00FB619B">
        <w:rPr>
          <w:rFonts w:ascii="Times New Roman" w:hAnsi="Times New Roman" w:cs="Times New Roman"/>
          <w:i/>
          <w:sz w:val="24"/>
          <w:szCs w:val="24"/>
        </w:rPr>
        <w:t xml:space="preserve"> v. California Products Corp,</w:t>
      </w:r>
      <w:r w:rsidRPr="00FB619B">
        <w:rPr>
          <w:rFonts w:ascii="Times New Roman" w:hAnsi="Times New Roman" w:cs="Times New Roman"/>
          <w:sz w:val="24"/>
          <w:szCs w:val="24"/>
        </w:rPr>
        <w:t xml:space="preserve"> 2011 US. Dis. LEXIS 110912 (</w:t>
      </w:r>
      <w:proofErr w:type="spellStart"/>
      <w:r w:rsidRPr="00FB619B">
        <w:rPr>
          <w:rFonts w:ascii="Times New Roman" w:hAnsi="Times New Roman" w:cs="Times New Roman"/>
          <w:sz w:val="24"/>
          <w:szCs w:val="24"/>
        </w:rPr>
        <w:t>D.Mass</w:t>
      </w:r>
      <w:proofErr w:type="spellEnd"/>
      <w:r w:rsidRPr="00FB619B">
        <w:rPr>
          <w:rFonts w:ascii="Times New Roman" w:hAnsi="Times New Roman" w:cs="Times New Roman"/>
          <w:sz w:val="24"/>
          <w:szCs w:val="24"/>
        </w:rPr>
        <w:t>. Sept. 28, 2011)</w:t>
      </w:r>
    </w:p>
    <w:p w:rsidR="00C76648" w:rsidRDefault="00C76648" w:rsidP="00C76648">
      <w:pPr>
        <w:pStyle w:val="ListParagraph"/>
        <w:numPr>
          <w:ilvl w:val="0"/>
          <w:numId w:val="14"/>
        </w:num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Court found ERISA does not require disclosure of valuation report to participants because it is not a document under which the plan is established or operated</w:t>
      </w:r>
    </w:p>
    <w:p w:rsidR="00C76648" w:rsidRDefault="00C76648" w:rsidP="00C76648">
      <w:pPr>
        <w:pStyle w:val="ListParagraph"/>
        <w:numPr>
          <w:ilvl w:val="0"/>
          <w:numId w:val="14"/>
        </w:num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 few other courts have reached similar decisions</w:t>
      </w:r>
    </w:p>
    <w:p w:rsidR="00732AE1" w:rsidRPr="00732AE1" w:rsidRDefault="00732AE1" w:rsidP="00732AE1">
      <w:pPr>
        <w:spacing w:after="0" w:line="240" w:lineRule="auto"/>
        <w:ind w:left="720"/>
        <w:rPr>
          <w:rFonts w:ascii="Times New Roman" w:hAnsi="Times New Roman" w:cs="Times New Roman"/>
          <w:sz w:val="24"/>
          <w:szCs w:val="24"/>
        </w:rPr>
      </w:pPr>
    </w:p>
    <w:p w:rsidR="00147A46" w:rsidRDefault="00147A46" w:rsidP="00147A46">
      <w:pPr>
        <w:spacing w:after="0" w:line="240" w:lineRule="auto"/>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z w:val="24"/>
          <w:szCs w:val="24"/>
        </w:rPr>
        <w:tab/>
      </w:r>
      <w:r w:rsidR="00715774">
        <w:rPr>
          <w:rFonts w:ascii="Times New Roman" w:hAnsi="Times New Roman" w:cs="Times New Roman"/>
          <w:sz w:val="24"/>
          <w:szCs w:val="24"/>
          <w:u w:val="single"/>
        </w:rPr>
        <w:t>Proposed DOL regulation on definition of a fiduciary</w:t>
      </w:r>
      <w:r w:rsidR="00715774">
        <w:rPr>
          <w:rFonts w:ascii="Times New Roman" w:hAnsi="Times New Roman" w:cs="Times New Roman"/>
          <w:sz w:val="24"/>
          <w:szCs w:val="24"/>
        </w:rPr>
        <w:t xml:space="preserve">.  </w:t>
      </w:r>
      <w:r>
        <w:rPr>
          <w:rFonts w:ascii="Times New Roman" w:hAnsi="Times New Roman" w:cs="Times New Roman"/>
          <w:sz w:val="24"/>
          <w:szCs w:val="24"/>
        </w:rPr>
        <w:t>A plan fiduciary is subject to fiduciary duties which include acting in the best interests of plan participants.  Participants can bring actions against a fiduciary for alleged violations of fiduciary</w:t>
      </w:r>
      <w:r w:rsidR="00732AE1">
        <w:rPr>
          <w:rFonts w:ascii="Times New Roman" w:hAnsi="Times New Roman" w:cs="Times New Roman"/>
          <w:sz w:val="24"/>
          <w:szCs w:val="24"/>
        </w:rPr>
        <w:t xml:space="preserve"> duties.  The Department of Labor has proposed regulations that would clarify, and potentially expand, who is a fiduciary.</w:t>
      </w:r>
    </w:p>
    <w:p w:rsidR="00732AE1" w:rsidRDefault="00732AE1" w:rsidP="00732AE1">
      <w:pPr>
        <w:pStyle w:val="ListParagraph"/>
        <w:numPr>
          <w:ilvl w:val="0"/>
          <w:numId w:val="15"/>
        </w:numPr>
        <w:spacing w:after="0" w:line="240" w:lineRule="auto"/>
        <w:ind w:left="720" w:firstLine="0"/>
        <w:rPr>
          <w:rFonts w:ascii="Times New Roman" w:hAnsi="Times New Roman" w:cs="Times New Roman"/>
          <w:sz w:val="24"/>
          <w:szCs w:val="24"/>
        </w:rPr>
      </w:pPr>
      <w:r>
        <w:rPr>
          <w:rFonts w:ascii="Times New Roman" w:hAnsi="Times New Roman" w:cs="Times New Roman"/>
          <w:sz w:val="24"/>
          <w:szCs w:val="24"/>
        </w:rPr>
        <w:t>Fiduciary status applies to a person who exercises discretionary authority or control over</w:t>
      </w:r>
    </w:p>
    <w:p w:rsidR="00732AE1" w:rsidRDefault="00732AE1" w:rsidP="00692224">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Management of the plan</w:t>
      </w:r>
    </w:p>
    <w:p w:rsidR="00732AE1" w:rsidRDefault="00732AE1" w:rsidP="00692224">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Plan assets or</w:t>
      </w:r>
    </w:p>
    <w:p w:rsidR="00732AE1" w:rsidRDefault="00732AE1" w:rsidP="00692224">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Renders investment advice</w:t>
      </w:r>
    </w:p>
    <w:p w:rsidR="00213A95" w:rsidRDefault="00213A95" w:rsidP="00213A95">
      <w:pPr>
        <w:pStyle w:val="ListParagraph"/>
        <w:numPr>
          <w:ilvl w:val="0"/>
          <w:numId w:val="15"/>
        </w:num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DOL concerns</w:t>
      </w:r>
    </w:p>
    <w:p w:rsidR="00213A95" w:rsidRDefault="006A1765" w:rsidP="00692224">
      <w:pPr>
        <w:pStyle w:val="ListParagraph"/>
        <w:numPr>
          <w:ilvl w:val="1"/>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Participants need protection from conflicts of inters and self-dealing</w:t>
      </w:r>
    </w:p>
    <w:p w:rsidR="006A1765" w:rsidRDefault="006A1765" w:rsidP="00692224">
      <w:pPr>
        <w:pStyle w:val="ListParagraph"/>
        <w:numPr>
          <w:ilvl w:val="1"/>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Incorrect valuations of employer securities are a common problem</w:t>
      </w:r>
    </w:p>
    <w:p w:rsidR="006A1765" w:rsidRDefault="006A1765" w:rsidP="00692224">
      <w:pPr>
        <w:pStyle w:val="ListParagraph"/>
        <w:numPr>
          <w:ilvl w:val="1"/>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DOL does not have enforcement power against non-fiduciaries</w:t>
      </w:r>
    </w:p>
    <w:p w:rsidR="006A1765" w:rsidRDefault="006C46A2" w:rsidP="006A1765">
      <w:pPr>
        <w:pStyle w:val="ListParagraph"/>
        <w:numPr>
          <w:ilvl w:val="0"/>
          <w:numId w:val="15"/>
        </w:num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Proposed regulation specifically included appraisals and fairness opinions, which is a reversal of DOL’s current position</w:t>
      </w:r>
    </w:p>
    <w:p w:rsidR="006C46A2" w:rsidRDefault="006C46A2" w:rsidP="006A1765">
      <w:pPr>
        <w:pStyle w:val="ListParagraph"/>
        <w:numPr>
          <w:ilvl w:val="0"/>
          <w:numId w:val="15"/>
        </w:num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Proposed regulation generated significant comment from ESOP professionals</w:t>
      </w:r>
    </w:p>
    <w:p w:rsidR="006C46A2" w:rsidRDefault="006C46A2" w:rsidP="006A1765">
      <w:pPr>
        <w:pStyle w:val="ListParagraph"/>
        <w:numPr>
          <w:ilvl w:val="0"/>
          <w:numId w:val="15"/>
        </w:num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Late last year, the DOL announced it would withdraw the proposed regulation</w:t>
      </w:r>
    </w:p>
    <w:p w:rsidR="006C46A2" w:rsidRDefault="006C46A2" w:rsidP="006A1765">
      <w:pPr>
        <w:pStyle w:val="ListParagraph"/>
        <w:numPr>
          <w:ilvl w:val="0"/>
          <w:numId w:val="15"/>
        </w:num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DOL intends to issue a new proposal in 2012</w:t>
      </w:r>
    </w:p>
    <w:p w:rsidR="006C46A2" w:rsidRDefault="006C46A2" w:rsidP="00692224">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Will coordinate with SEC and Commodity Futures Trading Commission</w:t>
      </w:r>
    </w:p>
    <w:p w:rsidR="006C46A2" w:rsidRPr="00732AE1" w:rsidRDefault="006C46A2" w:rsidP="00692224">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Ensure that new regulation is consistent with other agencies’ regulation of investment professionals and fiduciary conduct</w:t>
      </w:r>
    </w:p>
    <w:p w:rsidR="00732AE1" w:rsidRPr="00147A46" w:rsidRDefault="00732AE1" w:rsidP="00147A46">
      <w:pPr>
        <w:spacing w:after="0" w:line="240" w:lineRule="auto"/>
        <w:rPr>
          <w:rFonts w:ascii="Times New Roman" w:hAnsi="Times New Roman" w:cs="Times New Roman"/>
          <w:sz w:val="24"/>
          <w:szCs w:val="24"/>
        </w:rPr>
      </w:pPr>
    </w:p>
    <w:p w:rsidR="00FB619B" w:rsidRPr="00FB619B" w:rsidRDefault="00FB619B" w:rsidP="00FB619B">
      <w:pPr>
        <w:pStyle w:val="ListParagraph"/>
        <w:spacing w:after="0" w:line="240" w:lineRule="auto"/>
        <w:ind w:left="1080"/>
        <w:rPr>
          <w:rFonts w:ascii="Times New Roman" w:hAnsi="Times New Roman" w:cs="Times New Roman"/>
          <w:sz w:val="24"/>
          <w:szCs w:val="24"/>
        </w:rPr>
      </w:pPr>
    </w:p>
    <w:p w:rsidR="00E10D85" w:rsidRPr="00E10D85" w:rsidRDefault="00E10D85" w:rsidP="00E1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11C30" w:rsidRPr="00C86949" w:rsidRDefault="00811C30" w:rsidP="00811C30">
      <w:pPr>
        <w:spacing w:after="100" w:afterAutospacing="1"/>
        <w:rPr>
          <w:rFonts w:ascii="Times New Roman" w:hAnsi="Times New Roman" w:cs="Times New Roman"/>
          <w:sz w:val="24"/>
          <w:szCs w:val="24"/>
        </w:rPr>
      </w:pPr>
    </w:p>
    <w:p w:rsidR="00811C30" w:rsidRPr="00C86949" w:rsidRDefault="00811C30" w:rsidP="00811C30">
      <w:pPr>
        <w:rPr>
          <w:rFonts w:ascii="Times New Roman" w:hAnsi="Times New Roman" w:cs="Times New Roman"/>
          <w:sz w:val="24"/>
          <w:szCs w:val="24"/>
        </w:rPr>
      </w:pPr>
    </w:p>
    <w:p w:rsidR="00811C30" w:rsidRPr="00C86949" w:rsidRDefault="00811C30" w:rsidP="00811C30">
      <w:pPr>
        <w:pStyle w:val="Heading1"/>
        <w:numPr>
          <w:ilvl w:val="0"/>
          <w:numId w:val="0"/>
        </w:numPr>
        <w:rPr>
          <w:rFonts w:ascii="Times New Roman" w:hAnsi="Times New Roman" w:cs="Times New Roman"/>
          <w:color w:val="auto"/>
          <w:sz w:val="24"/>
          <w:szCs w:val="24"/>
        </w:rPr>
      </w:pPr>
    </w:p>
    <w:p w:rsidR="0011093A" w:rsidRPr="00141811" w:rsidRDefault="00141811" w:rsidP="00141811">
      <w:pPr>
        <w:spacing w:after="0" w:line="240" w:lineRule="auto"/>
        <w:jc w:val="center"/>
        <w:rPr>
          <w:rFonts w:ascii="Times New Roman" w:hAnsi="Times New Roman" w:cs="Times New Roman"/>
          <w:i/>
          <w:sz w:val="24"/>
          <w:szCs w:val="24"/>
        </w:rPr>
      </w:pPr>
      <w:r w:rsidRPr="00141811">
        <w:rPr>
          <w:rFonts w:ascii="Times New Roman" w:hAnsi="Times New Roman" w:cs="Times New Roman"/>
          <w:i/>
          <w:sz w:val="24"/>
          <w:szCs w:val="24"/>
        </w:rPr>
        <w:t>Many thanks to Attorney Beth L. Fowler</w:t>
      </w:r>
    </w:p>
    <w:p w:rsidR="00141811" w:rsidRPr="00141811" w:rsidRDefault="00141811" w:rsidP="00141811">
      <w:pPr>
        <w:spacing w:after="0" w:line="240" w:lineRule="auto"/>
        <w:jc w:val="center"/>
        <w:rPr>
          <w:rFonts w:ascii="Times New Roman" w:hAnsi="Times New Roman" w:cs="Times New Roman"/>
          <w:i/>
          <w:sz w:val="24"/>
          <w:szCs w:val="24"/>
        </w:rPr>
      </w:pPr>
      <w:r w:rsidRPr="00141811">
        <w:rPr>
          <w:rFonts w:ascii="Times New Roman" w:hAnsi="Times New Roman" w:cs="Times New Roman"/>
          <w:i/>
          <w:sz w:val="24"/>
          <w:szCs w:val="24"/>
        </w:rPr>
        <w:t>Tax Attorney at</w:t>
      </w:r>
    </w:p>
    <w:p w:rsidR="00141811" w:rsidRDefault="00141811" w:rsidP="00141811">
      <w:pPr>
        <w:spacing w:after="0" w:line="240" w:lineRule="auto"/>
        <w:jc w:val="center"/>
        <w:rPr>
          <w:rFonts w:ascii="Times New Roman" w:hAnsi="Times New Roman" w:cs="Times New Roman"/>
          <w:i/>
          <w:sz w:val="24"/>
          <w:szCs w:val="24"/>
        </w:rPr>
      </w:pPr>
      <w:r w:rsidRPr="00141811">
        <w:rPr>
          <w:rFonts w:ascii="Times New Roman" w:hAnsi="Times New Roman" w:cs="Times New Roman"/>
          <w:i/>
          <w:sz w:val="24"/>
          <w:szCs w:val="24"/>
        </w:rPr>
        <w:t xml:space="preserve">McLane, Graf, </w:t>
      </w:r>
      <w:proofErr w:type="spellStart"/>
      <w:r w:rsidRPr="00141811">
        <w:rPr>
          <w:rFonts w:ascii="Times New Roman" w:hAnsi="Times New Roman" w:cs="Times New Roman"/>
          <w:i/>
          <w:sz w:val="24"/>
          <w:szCs w:val="24"/>
        </w:rPr>
        <w:t>Raulerson</w:t>
      </w:r>
      <w:proofErr w:type="spellEnd"/>
      <w:r w:rsidRPr="00141811">
        <w:rPr>
          <w:rFonts w:ascii="Times New Roman" w:hAnsi="Times New Roman" w:cs="Times New Roman"/>
          <w:i/>
          <w:sz w:val="24"/>
          <w:szCs w:val="24"/>
        </w:rPr>
        <w:t xml:space="preserve"> &amp; Middleton, Professional Association</w:t>
      </w:r>
    </w:p>
    <w:p w:rsidR="00141811" w:rsidRPr="00141811" w:rsidRDefault="00141811" w:rsidP="00141811">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for her preparation of these materials</w:t>
      </w:r>
    </w:p>
    <w:p w:rsidR="00141811" w:rsidRPr="00C86949" w:rsidRDefault="00141811" w:rsidP="00141811">
      <w:pPr>
        <w:spacing w:before="100" w:beforeAutospacing="1" w:after="0" w:line="240" w:lineRule="auto"/>
        <w:jc w:val="center"/>
        <w:rPr>
          <w:rFonts w:ascii="Times New Roman" w:hAnsi="Times New Roman" w:cs="Times New Roman"/>
          <w:sz w:val="24"/>
          <w:szCs w:val="24"/>
        </w:rPr>
      </w:pPr>
    </w:p>
    <w:p w:rsidR="00976BBE" w:rsidRPr="00C86949" w:rsidRDefault="00976BBE">
      <w:pPr>
        <w:spacing w:before="100" w:beforeAutospacing="1" w:after="100" w:afterAutospacing="1" w:line="240" w:lineRule="auto"/>
        <w:rPr>
          <w:rFonts w:ascii="Times New Roman" w:hAnsi="Times New Roman" w:cs="Times New Roman"/>
          <w:i/>
          <w:sz w:val="24"/>
          <w:szCs w:val="24"/>
        </w:rPr>
      </w:pPr>
    </w:p>
    <w:sectPr w:rsidR="00976BBE" w:rsidRPr="00C86949" w:rsidSect="00FE139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39A" w:rsidRDefault="00FE139A" w:rsidP="00FE139A">
      <w:pPr>
        <w:spacing w:after="0" w:line="240" w:lineRule="auto"/>
      </w:pPr>
      <w:r>
        <w:separator/>
      </w:r>
    </w:p>
  </w:endnote>
  <w:endnote w:type="continuationSeparator" w:id="0">
    <w:p w:rsidR="00FE139A" w:rsidRDefault="00FE139A" w:rsidP="00FE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9A" w:rsidRDefault="00FE13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115369"/>
      <w:docPartObj>
        <w:docPartGallery w:val="Page Numbers (Bottom of Page)"/>
        <w:docPartUnique/>
      </w:docPartObj>
    </w:sdtPr>
    <w:sdtEndPr>
      <w:rPr>
        <w:noProof/>
      </w:rPr>
    </w:sdtEndPr>
    <w:sdtContent>
      <w:p w:rsidR="00FE139A" w:rsidRDefault="00FE139A">
        <w:pPr>
          <w:pStyle w:val="Footer"/>
          <w:jc w:val="center"/>
        </w:pPr>
        <w:r>
          <w:fldChar w:fldCharType="begin"/>
        </w:r>
        <w:r>
          <w:instrText xml:space="preserve"> PAGE   \* MERGEFORMAT </w:instrText>
        </w:r>
        <w:r>
          <w:fldChar w:fldCharType="separate"/>
        </w:r>
        <w:r w:rsidR="00E92F90">
          <w:rPr>
            <w:noProof/>
          </w:rPr>
          <w:t>6</w:t>
        </w:r>
        <w:r>
          <w:rPr>
            <w:noProof/>
          </w:rPr>
          <w:fldChar w:fldCharType="end"/>
        </w:r>
      </w:p>
    </w:sdtContent>
  </w:sdt>
  <w:p w:rsidR="00FE139A" w:rsidRDefault="00FE13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9A" w:rsidRDefault="00FE1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39A" w:rsidRDefault="00FE139A" w:rsidP="00FE139A">
      <w:pPr>
        <w:spacing w:after="0" w:line="240" w:lineRule="auto"/>
      </w:pPr>
      <w:r>
        <w:separator/>
      </w:r>
    </w:p>
  </w:footnote>
  <w:footnote w:type="continuationSeparator" w:id="0">
    <w:p w:rsidR="00FE139A" w:rsidRDefault="00FE139A" w:rsidP="00FE1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9A" w:rsidRDefault="00FE1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9A" w:rsidRDefault="00FE13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9A" w:rsidRDefault="00FE1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3154"/>
    <w:multiLevelType w:val="hybridMultilevel"/>
    <w:tmpl w:val="96723390"/>
    <w:lvl w:ilvl="0" w:tplc="0888BA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F164BB"/>
    <w:multiLevelType w:val="hybridMultilevel"/>
    <w:tmpl w:val="D870F1D4"/>
    <w:lvl w:ilvl="0" w:tplc="2BCED2D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D4A4A"/>
    <w:multiLevelType w:val="hybridMultilevel"/>
    <w:tmpl w:val="07D250D2"/>
    <w:lvl w:ilvl="0" w:tplc="325A36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446B96"/>
    <w:multiLevelType w:val="hybridMultilevel"/>
    <w:tmpl w:val="39D646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637674"/>
    <w:multiLevelType w:val="hybridMultilevel"/>
    <w:tmpl w:val="6244636C"/>
    <w:lvl w:ilvl="0" w:tplc="54B4D5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25D08"/>
    <w:multiLevelType w:val="hybridMultilevel"/>
    <w:tmpl w:val="1FECF4D4"/>
    <w:lvl w:ilvl="0" w:tplc="88DC033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5E19E6"/>
    <w:multiLevelType w:val="hybridMultilevel"/>
    <w:tmpl w:val="6E16D73C"/>
    <w:lvl w:ilvl="0" w:tplc="FD5E908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664C7D"/>
    <w:multiLevelType w:val="hybridMultilevel"/>
    <w:tmpl w:val="12FE10A0"/>
    <w:lvl w:ilvl="0" w:tplc="67B895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970947"/>
    <w:multiLevelType w:val="hybridMultilevel"/>
    <w:tmpl w:val="17A69E8A"/>
    <w:lvl w:ilvl="0" w:tplc="88DC033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9414BF"/>
    <w:multiLevelType w:val="hybridMultilevel"/>
    <w:tmpl w:val="7DA220EA"/>
    <w:lvl w:ilvl="0" w:tplc="285819B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5515DD"/>
    <w:multiLevelType w:val="hybridMultilevel"/>
    <w:tmpl w:val="68B8CE40"/>
    <w:lvl w:ilvl="0" w:tplc="8C74BB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136287"/>
    <w:multiLevelType w:val="hybridMultilevel"/>
    <w:tmpl w:val="6504DF0A"/>
    <w:lvl w:ilvl="0" w:tplc="3CC009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C94E16"/>
    <w:multiLevelType w:val="hybridMultilevel"/>
    <w:tmpl w:val="F57E7716"/>
    <w:lvl w:ilvl="0" w:tplc="FD5E908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9F2468"/>
    <w:multiLevelType w:val="hybridMultilevel"/>
    <w:tmpl w:val="D720A43A"/>
    <w:lvl w:ilvl="0" w:tplc="88DC033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8881B7F"/>
    <w:multiLevelType w:val="hybridMultilevel"/>
    <w:tmpl w:val="27F66E0C"/>
    <w:lvl w:ilvl="0" w:tplc="285819B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112148"/>
    <w:multiLevelType w:val="hybridMultilevel"/>
    <w:tmpl w:val="E848DA2A"/>
    <w:lvl w:ilvl="0" w:tplc="88DC033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373BC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nsid w:val="7B582E7A"/>
    <w:multiLevelType w:val="hybridMultilevel"/>
    <w:tmpl w:val="6B4E11AC"/>
    <w:lvl w:ilvl="0" w:tplc="FD5E908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6"/>
  </w:num>
  <w:num w:numId="4">
    <w:abstractNumId w:val="1"/>
  </w:num>
  <w:num w:numId="5">
    <w:abstractNumId w:val="9"/>
  </w:num>
  <w:num w:numId="6">
    <w:abstractNumId w:val="14"/>
  </w:num>
  <w:num w:numId="7">
    <w:abstractNumId w:val="17"/>
  </w:num>
  <w:num w:numId="8">
    <w:abstractNumId w:val="6"/>
  </w:num>
  <w:num w:numId="9">
    <w:abstractNumId w:val="12"/>
  </w:num>
  <w:num w:numId="10">
    <w:abstractNumId w:val="2"/>
  </w:num>
  <w:num w:numId="11">
    <w:abstractNumId w:val="11"/>
  </w:num>
  <w:num w:numId="12">
    <w:abstractNumId w:val="10"/>
  </w:num>
  <w:num w:numId="13">
    <w:abstractNumId w:val="7"/>
  </w:num>
  <w:num w:numId="14">
    <w:abstractNumId w:val="0"/>
  </w:num>
  <w:num w:numId="15">
    <w:abstractNumId w:val="5"/>
  </w:num>
  <w:num w:numId="16">
    <w:abstractNumId w:val="15"/>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93A"/>
    <w:rsid w:val="00006F18"/>
    <w:rsid w:val="000377EA"/>
    <w:rsid w:val="00055BBD"/>
    <w:rsid w:val="000A1752"/>
    <w:rsid w:val="000A1774"/>
    <w:rsid w:val="000A4A5B"/>
    <w:rsid w:val="0011093A"/>
    <w:rsid w:val="00112C3C"/>
    <w:rsid w:val="00141811"/>
    <w:rsid w:val="00147A46"/>
    <w:rsid w:val="001A328E"/>
    <w:rsid w:val="001C11E5"/>
    <w:rsid w:val="00213A95"/>
    <w:rsid w:val="00215626"/>
    <w:rsid w:val="00292E92"/>
    <w:rsid w:val="002A07BF"/>
    <w:rsid w:val="002C03AF"/>
    <w:rsid w:val="002C1B0D"/>
    <w:rsid w:val="003206FC"/>
    <w:rsid w:val="00353A6A"/>
    <w:rsid w:val="00390AA5"/>
    <w:rsid w:val="00465A99"/>
    <w:rsid w:val="004902AE"/>
    <w:rsid w:val="004E31B2"/>
    <w:rsid w:val="00512455"/>
    <w:rsid w:val="00526913"/>
    <w:rsid w:val="00602D45"/>
    <w:rsid w:val="00692224"/>
    <w:rsid w:val="006A1765"/>
    <w:rsid w:val="006C46A2"/>
    <w:rsid w:val="00706720"/>
    <w:rsid w:val="00715774"/>
    <w:rsid w:val="0072625C"/>
    <w:rsid w:val="00732AE1"/>
    <w:rsid w:val="007360B2"/>
    <w:rsid w:val="00792751"/>
    <w:rsid w:val="007C3B1D"/>
    <w:rsid w:val="00811C30"/>
    <w:rsid w:val="0096076A"/>
    <w:rsid w:val="00976BBE"/>
    <w:rsid w:val="009772D5"/>
    <w:rsid w:val="00A258F3"/>
    <w:rsid w:val="00AF07AE"/>
    <w:rsid w:val="00B57F7C"/>
    <w:rsid w:val="00BC7740"/>
    <w:rsid w:val="00BF7E79"/>
    <w:rsid w:val="00C521FB"/>
    <w:rsid w:val="00C76648"/>
    <w:rsid w:val="00C86949"/>
    <w:rsid w:val="00D00386"/>
    <w:rsid w:val="00D17B63"/>
    <w:rsid w:val="00DA64C3"/>
    <w:rsid w:val="00DC42DA"/>
    <w:rsid w:val="00E10D85"/>
    <w:rsid w:val="00E324D0"/>
    <w:rsid w:val="00E53F60"/>
    <w:rsid w:val="00E725F6"/>
    <w:rsid w:val="00E92F90"/>
    <w:rsid w:val="00EE4B62"/>
    <w:rsid w:val="00FB619B"/>
    <w:rsid w:val="00FC20C4"/>
    <w:rsid w:val="00FE1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093A"/>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093A"/>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093A"/>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1093A"/>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1093A"/>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1093A"/>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1093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1093A"/>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1093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lename">
    <w:name w:val="Filename"/>
    <w:basedOn w:val="DefaultParagraphFont"/>
    <w:rsid w:val="00E324D0"/>
    <w:rPr>
      <w:rFonts w:ascii="Times New Roman" w:hAnsi="Times New Roman" w:cs="Times New Roman"/>
      <w:sz w:val="16"/>
    </w:rPr>
  </w:style>
  <w:style w:type="paragraph" w:styleId="BalloonText">
    <w:name w:val="Balloon Text"/>
    <w:basedOn w:val="Normal"/>
    <w:link w:val="BalloonTextChar"/>
    <w:uiPriority w:val="99"/>
    <w:semiHidden/>
    <w:unhideWhenUsed/>
    <w:rsid w:val="00E32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4D0"/>
    <w:rPr>
      <w:rFonts w:ascii="Tahoma" w:hAnsi="Tahoma" w:cs="Tahoma"/>
      <w:sz w:val="16"/>
      <w:szCs w:val="16"/>
    </w:rPr>
  </w:style>
  <w:style w:type="paragraph" w:styleId="ListParagraph">
    <w:name w:val="List Paragraph"/>
    <w:basedOn w:val="Normal"/>
    <w:uiPriority w:val="34"/>
    <w:qFormat/>
    <w:rsid w:val="0011093A"/>
    <w:pPr>
      <w:ind w:left="720"/>
      <w:contextualSpacing/>
    </w:pPr>
  </w:style>
  <w:style w:type="character" w:customStyle="1" w:styleId="Heading1Char">
    <w:name w:val="Heading 1 Char"/>
    <w:basedOn w:val="DefaultParagraphFont"/>
    <w:link w:val="Heading1"/>
    <w:uiPriority w:val="9"/>
    <w:rsid w:val="001109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09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109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109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109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109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109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109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1093A"/>
    <w:rPr>
      <w:rFonts w:asciiTheme="majorHAnsi" w:eastAsiaTheme="majorEastAsia" w:hAnsiTheme="majorHAnsi" w:cstheme="majorBidi"/>
      <w:i/>
      <w:iCs/>
      <w:color w:val="404040" w:themeColor="text1" w:themeTint="BF"/>
      <w:sz w:val="20"/>
      <w:szCs w:val="20"/>
    </w:rPr>
  </w:style>
  <w:style w:type="paragraph" w:customStyle="1" w:styleId="Default">
    <w:name w:val="Default"/>
    <w:rsid w:val="00FB619B"/>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Header">
    <w:name w:val="header"/>
    <w:basedOn w:val="Normal"/>
    <w:link w:val="HeaderChar"/>
    <w:uiPriority w:val="99"/>
    <w:unhideWhenUsed/>
    <w:rsid w:val="00FE1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39A"/>
  </w:style>
  <w:style w:type="paragraph" w:styleId="Footer">
    <w:name w:val="footer"/>
    <w:basedOn w:val="Normal"/>
    <w:link w:val="FooterChar"/>
    <w:uiPriority w:val="99"/>
    <w:unhideWhenUsed/>
    <w:rsid w:val="00FE1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39A"/>
  </w:style>
  <w:style w:type="character" w:styleId="Hyperlink">
    <w:name w:val="Hyperlink"/>
    <w:basedOn w:val="DefaultParagraphFont"/>
    <w:uiPriority w:val="99"/>
    <w:semiHidden/>
    <w:unhideWhenUsed/>
    <w:rsid w:val="00E92F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093A"/>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093A"/>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093A"/>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1093A"/>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1093A"/>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1093A"/>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1093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1093A"/>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1093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lename">
    <w:name w:val="Filename"/>
    <w:basedOn w:val="DefaultParagraphFont"/>
    <w:rsid w:val="00E324D0"/>
    <w:rPr>
      <w:rFonts w:ascii="Times New Roman" w:hAnsi="Times New Roman" w:cs="Times New Roman"/>
      <w:sz w:val="16"/>
    </w:rPr>
  </w:style>
  <w:style w:type="paragraph" w:styleId="BalloonText">
    <w:name w:val="Balloon Text"/>
    <w:basedOn w:val="Normal"/>
    <w:link w:val="BalloonTextChar"/>
    <w:uiPriority w:val="99"/>
    <w:semiHidden/>
    <w:unhideWhenUsed/>
    <w:rsid w:val="00E32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4D0"/>
    <w:rPr>
      <w:rFonts w:ascii="Tahoma" w:hAnsi="Tahoma" w:cs="Tahoma"/>
      <w:sz w:val="16"/>
      <w:szCs w:val="16"/>
    </w:rPr>
  </w:style>
  <w:style w:type="paragraph" w:styleId="ListParagraph">
    <w:name w:val="List Paragraph"/>
    <w:basedOn w:val="Normal"/>
    <w:uiPriority w:val="34"/>
    <w:qFormat/>
    <w:rsid w:val="0011093A"/>
    <w:pPr>
      <w:ind w:left="720"/>
      <w:contextualSpacing/>
    </w:pPr>
  </w:style>
  <w:style w:type="character" w:customStyle="1" w:styleId="Heading1Char">
    <w:name w:val="Heading 1 Char"/>
    <w:basedOn w:val="DefaultParagraphFont"/>
    <w:link w:val="Heading1"/>
    <w:uiPriority w:val="9"/>
    <w:rsid w:val="001109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09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109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109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109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109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109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109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1093A"/>
    <w:rPr>
      <w:rFonts w:asciiTheme="majorHAnsi" w:eastAsiaTheme="majorEastAsia" w:hAnsiTheme="majorHAnsi" w:cstheme="majorBidi"/>
      <w:i/>
      <w:iCs/>
      <w:color w:val="404040" w:themeColor="text1" w:themeTint="BF"/>
      <w:sz w:val="20"/>
      <w:szCs w:val="20"/>
    </w:rPr>
  </w:style>
  <w:style w:type="paragraph" w:customStyle="1" w:styleId="Default">
    <w:name w:val="Default"/>
    <w:rsid w:val="00FB619B"/>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Header">
    <w:name w:val="header"/>
    <w:basedOn w:val="Normal"/>
    <w:link w:val="HeaderChar"/>
    <w:uiPriority w:val="99"/>
    <w:unhideWhenUsed/>
    <w:rsid w:val="00FE1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39A"/>
  </w:style>
  <w:style w:type="paragraph" w:styleId="Footer">
    <w:name w:val="footer"/>
    <w:basedOn w:val="Normal"/>
    <w:link w:val="FooterChar"/>
    <w:uiPriority w:val="99"/>
    <w:unhideWhenUsed/>
    <w:rsid w:val="00FE1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39A"/>
  </w:style>
  <w:style w:type="character" w:styleId="Hyperlink">
    <w:name w:val="Hyperlink"/>
    <w:basedOn w:val="DefaultParagraphFont"/>
    <w:uiPriority w:val="99"/>
    <w:semiHidden/>
    <w:unhideWhenUsed/>
    <w:rsid w:val="00E92F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5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clan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teve.burke@mclane.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C0925-7941-4137-9C3B-0CFE658F6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McLane, Graf, Raulerson &amp; Middleton</Company>
  <LinksUpToDate>false</LinksUpToDate>
  <CharactersWithSpaces>11849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Beth</dc:creator>
  <cp:keywords/>
  <dc:description/>
  <cp:lastModifiedBy>Burke, Steve</cp:lastModifiedBy>
  <cp:revision>3</cp:revision>
  <cp:lastPrinted>2012-06-06T13:34:00Z</cp:lastPrinted>
  <dcterms:created xsi:type="dcterms:W3CDTF">2012-06-06T13:35:00Z</dcterms:created>
  <dcterms:modified xsi:type="dcterms:W3CDTF">2012-06-20T21:58:00Z</dcterms:modified>
</cp:coreProperties>
</file>